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3D41" w14:textId="77777777" w:rsidR="0090146F" w:rsidRPr="00F042AC" w:rsidRDefault="0090146F" w:rsidP="0090146F">
      <w:pPr>
        <w:pStyle w:val="Heading1"/>
        <w:spacing w:before="0"/>
        <w:jc w:val="center"/>
        <w:rPr>
          <w:rFonts w:ascii="Garamond" w:hAnsi="Garamond"/>
          <w:lang w:val="fr-FR"/>
        </w:rPr>
      </w:pPr>
      <w:r w:rsidRPr="00261FDE">
        <w:rPr>
          <w:rFonts w:ascii="Garamond" w:hAnsi="Garamond"/>
          <w:b w:val="0"/>
          <w:noProof/>
          <w:sz w:val="24"/>
          <w:szCs w:val="24"/>
        </w:rPr>
        <mc:AlternateContent>
          <mc:Choice Requires="wps">
            <w:drawing>
              <wp:anchor distT="0" distB="0" distL="114300" distR="114300" simplePos="0" relativeHeight="251663360" behindDoc="0" locked="0" layoutInCell="1" allowOverlap="1" wp14:anchorId="3D90A532" wp14:editId="711E4EB2">
                <wp:simplePos x="0" y="0"/>
                <wp:positionH relativeFrom="page">
                  <wp:align>left</wp:align>
                </wp:positionH>
                <wp:positionV relativeFrom="paragraph">
                  <wp:posOffset>250825</wp:posOffset>
                </wp:positionV>
                <wp:extent cx="77724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772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BEEE95" id="Straight Connector 3" o:spid="_x0000_s1026" style="position:absolute;z-index:251663360;visibility:visible;mso-wrap-style:square;mso-wrap-distance-left:9pt;mso-wrap-distance-top:0;mso-wrap-distance-right:9pt;mso-wrap-distance-bottom:0;mso-position-horizontal:left;mso-position-horizontal-relative:page;mso-position-vertical:absolute;mso-position-vertical-relative:text" from="0,19.75pt" to="61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" strokecolor="#5b9bd5 [3204]">
                <w10:wrap anchorx="page"/>
              </v:line>
            </w:pict>
          </mc:Fallback>
        </mc:AlternateContent>
      </w:r>
      <w:r w:rsidRPr="00414648">
        <w:rPr>
          <w:rFonts w:ascii="Garamond" w:hAnsi="Garamond" w:cs="GaramondPremrPro"/>
          <w:b w:val="0"/>
          <w:color w:val="F18C1E"/>
          <w:sz w:val="24"/>
          <w:szCs w:val="24"/>
          <w:lang w:val="fr-FR"/>
        </w:rPr>
        <w:t xml:space="preserve"> </w:t>
      </w:r>
      <w:r w:rsidR="00CD4156" w:rsidRPr="00F042AC">
        <w:rPr>
          <w:rFonts w:ascii="Garamond" w:hAnsi="Garamond" w:cs="GaramondPremrPro"/>
          <w:color w:val="F18C1E"/>
          <w:lang w:val="fr-FR"/>
        </w:rPr>
        <w:t>Projet de Recherche sur les Politiques de Sécurité Alimentaire au</w:t>
      </w:r>
      <w:r w:rsidRPr="00F042AC">
        <w:rPr>
          <w:rFonts w:ascii="Garamond" w:hAnsi="Garamond" w:cs="GaramondPremrPro"/>
          <w:color w:val="F18C1E"/>
          <w:lang w:val="fr-FR"/>
        </w:rPr>
        <w:t xml:space="preserve"> Mali</w:t>
      </w:r>
    </w:p>
    <w:p w14:paraId="7AE59DE8" w14:textId="65F56383" w:rsidR="00A44802" w:rsidRPr="00170C87" w:rsidRDefault="00200A58" w:rsidP="00213DE7">
      <w:pPr>
        <w:pStyle w:val="Heading1"/>
        <w:spacing w:before="200"/>
        <w:jc w:val="center"/>
        <w:rPr>
          <w:rFonts w:ascii="Garamond" w:hAnsi="Garamond"/>
          <w:color w:val="auto"/>
          <w:lang w:val="fr-FR"/>
        </w:rPr>
      </w:pPr>
      <w:r w:rsidRPr="00170C87">
        <w:rPr>
          <w:rFonts w:ascii="Garamond" w:hAnsi="Garamond"/>
          <w:color w:val="auto"/>
          <w:lang w:val="fr-FR"/>
        </w:rPr>
        <w:t>Regard sur les origines de la subvention des engrais au Mali</w:t>
      </w:r>
    </w:p>
    <w:p w14:paraId="55E7CF6E" w14:textId="77777777" w:rsidR="006302E5" w:rsidRPr="00261FDE" w:rsidRDefault="006302E5" w:rsidP="006302E5">
      <w:pPr>
        <w:autoSpaceDE w:val="0"/>
        <w:autoSpaceDN w:val="0"/>
        <w:adjustRightInd w:val="0"/>
        <w:jc w:val="center"/>
        <w:rPr>
          <w:rFonts w:ascii="Garamond" w:hAnsi="Garamond" w:cs="Gill Sans"/>
          <w:bCs/>
          <w:lang w:val="fr-FR"/>
        </w:rPr>
      </w:pPr>
    </w:p>
    <w:p w14:paraId="390D9C6F" w14:textId="77777777" w:rsidR="0073464B" w:rsidRPr="00170C87" w:rsidRDefault="0073464B" w:rsidP="0073464B">
      <w:pPr>
        <w:pStyle w:val="FootnoteText"/>
        <w:jc w:val="center"/>
        <w:rPr>
          <w:rFonts w:ascii="Garamond" w:hAnsi="Garamond" w:cs="Gill Sans"/>
          <w:sz w:val="28"/>
          <w:szCs w:val="28"/>
          <w:lang w:val="fr-FR"/>
        </w:rPr>
      </w:pPr>
      <w:proofErr w:type="spellStart"/>
      <w:r w:rsidRPr="00170C87">
        <w:rPr>
          <w:rFonts w:ascii="Garamond" w:hAnsi="Garamond" w:cs="Gill Sans"/>
          <w:sz w:val="28"/>
          <w:szCs w:val="28"/>
          <w:lang w:val="fr-FR"/>
        </w:rPr>
        <w:t>Yenizié</w:t>
      </w:r>
      <w:proofErr w:type="spellEnd"/>
      <w:r w:rsidRPr="00170C87">
        <w:rPr>
          <w:rFonts w:ascii="Garamond" w:hAnsi="Garamond" w:cs="Gill Sans"/>
          <w:sz w:val="28"/>
          <w:szCs w:val="28"/>
          <w:lang w:val="fr-FR"/>
        </w:rPr>
        <w:t xml:space="preserve"> Koné, Alpha Kergna, Abdramane Traoré, Nama</w:t>
      </w:r>
      <w:r w:rsidR="00A77979" w:rsidRPr="00170C87">
        <w:rPr>
          <w:rFonts w:ascii="Garamond" w:hAnsi="Garamond" w:cs="Gill Sans"/>
          <w:sz w:val="28"/>
          <w:szCs w:val="28"/>
          <w:lang w:val="fr-FR"/>
        </w:rPr>
        <w:t>n</w:t>
      </w:r>
      <w:r w:rsidRPr="00170C87">
        <w:rPr>
          <w:rFonts w:ascii="Garamond" w:hAnsi="Garamond" w:cs="Gill Sans"/>
          <w:sz w:val="28"/>
          <w:szCs w:val="28"/>
          <w:lang w:val="fr-FR"/>
        </w:rPr>
        <w:t xml:space="preserve"> Ke</w:t>
      </w:r>
      <w:r w:rsidR="00A77979" w:rsidRPr="00170C87">
        <w:rPr>
          <w:rFonts w:ascii="Garamond" w:hAnsi="Garamond" w:cs="Gill Sans"/>
          <w:sz w:val="28"/>
          <w:szCs w:val="28"/>
          <w:lang w:val="fr-FR"/>
        </w:rPr>
        <w:t>i</w:t>
      </w:r>
      <w:r w:rsidRPr="00170C87">
        <w:rPr>
          <w:rFonts w:ascii="Garamond" w:hAnsi="Garamond" w:cs="Gill Sans"/>
          <w:sz w:val="28"/>
          <w:szCs w:val="28"/>
          <w:lang w:val="fr-FR"/>
        </w:rPr>
        <w:t xml:space="preserve">ta, </w:t>
      </w:r>
    </w:p>
    <w:p w14:paraId="5A371043" w14:textId="1CBF6D99" w:rsidR="0073464B" w:rsidRPr="00170C87" w:rsidRDefault="0073464B" w:rsidP="0073464B">
      <w:pPr>
        <w:pStyle w:val="FootnoteText"/>
        <w:jc w:val="center"/>
        <w:rPr>
          <w:rFonts w:ascii="Garamond" w:hAnsi="Garamond" w:cs="Gill Sans"/>
          <w:sz w:val="28"/>
          <w:szCs w:val="28"/>
          <w:lang w:val="fr-FR"/>
        </w:rPr>
      </w:pPr>
      <w:r w:rsidRPr="00170C87">
        <w:rPr>
          <w:rFonts w:ascii="Garamond" w:hAnsi="Garamond" w:cs="Gill Sans"/>
          <w:sz w:val="28"/>
          <w:szCs w:val="28"/>
          <w:lang w:val="fr-FR"/>
        </w:rPr>
        <w:t>Véronique Th</w:t>
      </w:r>
      <w:r w:rsidR="00A77979" w:rsidRPr="00170C87">
        <w:rPr>
          <w:rFonts w:ascii="Garamond" w:hAnsi="Garamond" w:cs="Gill Sans"/>
          <w:sz w:val="28"/>
          <w:szCs w:val="28"/>
          <w:lang w:val="fr-FR"/>
        </w:rPr>
        <w:t>é</w:t>
      </w:r>
      <w:r w:rsidRPr="00170C87">
        <w:rPr>
          <w:rFonts w:ascii="Garamond" w:hAnsi="Garamond" w:cs="Gill Sans"/>
          <w:sz w:val="28"/>
          <w:szCs w:val="28"/>
          <w:lang w:val="fr-FR"/>
        </w:rPr>
        <w:t>r</w:t>
      </w:r>
      <w:r w:rsidR="0013552B" w:rsidRPr="00170C87">
        <w:rPr>
          <w:rFonts w:ascii="Garamond" w:hAnsi="Garamond" w:cs="Gill Sans"/>
          <w:sz w:val="28"/>
          <w:szCs w:val="28"/>
          <w:lang w:val="fr-FR"/>
        </w:rPr>
        <w:t>iault</w:t>
      </w:r>
      <w:r w:rsidR="00880AA4" w:rsidRPr="00170C87">
        <w:rPr>
          <w:rFonts w:ascii="Garamond" w:hAnsi="Garamond" w:cs="Gill Sans"/>
          <w:sz w:val="28"/>
          <w:szCs w:val="28"/>
          <w:lang w:val="fr-FR"/>
        </w:rPr>
        <w:t>,</w:t>
      </w:r>
      <w:r w:rsidR="00A77979" w:rsidRPr="00170C87">
        <w:rPr>
          <w:rFonts w:ascii="Garamond" w:hAnsi="Garamond" w:cs="Gill Sans"/>
          <w:sz w:val="28"/>
          <w:szCs w:val="28"/>
          <w:lang w:val="fr-FR"/>
        </w:rPr>
        <w:t xml:space="preserve"> Melinda Smale</w:t>
      </w:r>
      <w:r w:rsidR="00880AA4" w:rsidRPr="00170C87">
        <w:rPr>
          <w:rFonts w:ascii="Garamond" w:hAnsi="Garamond" w:cs="Gill Sans"/>
          <w:sz w:val="28"/>
          <w:szCs w:val="28"/>
          <w:lang w:val="fr-FR"/>
        </w:rPr>
        <w:t>, Steven Haggblade.</w:t>
      </w:r>
      <w:r w:rsidR="005908B2" w:rsidRPr="00170C87">
        <w:rPr>
          <w:rFonts w:ascii="Garamond" w:hAnsi="Garamond" w:cs="Gill Sans"/>
          <w:sz w:val="28"/>
          <w:szCs w:val="28"/>
          <w:lang w:val="fr-FR"/>
        </w:rPr>
        <w:t xml:space="preserve"> </w:t>
      </w:r>
    </w:p>
    <w:p w14:paraId="436224BB" w14:textId="1364DDAE" w:rsidR="00915D36" w:rsidRPr="00261FDE" w:rsidRDefault="00716431" w:rsidP="00920476">
      <w:pPr>
        <w:pStyle w:val="FootnoteText"/>
        <w:jc w:val="center"/>
        <w:rPr>
          <w:rFonts w:ascii="Garamond" w:hAnsi="Garamond" w:cs="Gill Sans"/>
          <w:sz w:val="24"/>
          <w:szCs w:val="24"/>
          <w:lang w:val="fr-FR"/>
        </w:rPr>
        <w:sectPr w:rsidR="00915D36" w:rsidRPr="00261FDE" w:rsidSect="00E5077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350" w:right="720" w:bottom="1440" w:left="720" w:header="10" w:footer="144" w:gutter="0"/>
          <w:cols w:space="720"/>
          <w:docGrid w:linePitch="360"/>
        </w:sectPr>
      </w:pPr>
      <w:r w:rsidRPr="00261FDE">
        <w:rPr>
          <w:rFonts w:ascii="Garamond" w:hAnsi="Garamond"/>
          <w:noProof/>
          <w:color w:val="3C7E94"/>
          <w:sz w:val="24"/>
          <w:szCs w:val="24"/>
        </w:rPr>
        <mc:AlternateContent>
          <mc:Choice Requires="wps">
            <w:drawing>
              <wp:anchor distT="45720" distB="45720" distL="114300" distR="114300" simplePos="0" relativeHeight="251657216" behindDoc="0" locked="0" layoutInCell="1" allowOverlap="1" wp14:anchorId="32BDF335" wp14:editId="4BEFFFCA">
                <wp:simplePos x="0" y="0"/>
                <wp:positionH relativeFrom="column">
                  <wp:posOffset>3714750</wp:posOffset>
                </wp:positionH>
                <wp:positionV relativeFrom="paragraph">
                  <wp:posOffset>319405</wp:posOffset>
                </wp:positionV>
                <wp:extent cx="3131820" cy="4505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4505325"/>
                        </a:xfrm>
                        <a:prstGeom prst="rect">
                          <a:avLst/>
                        </a:prstGeom>
                        <a:solidFill>
                          <a:srgbClr val="E6E7E8"/>
                        </a:solidFill>
                        <a:ln w="9525">
                          <a:noFill/>
                          <a:miter lim="800000"/>
                          <a:headEnd/>
                          <a:tailEnd/>
                        </a:ln>
                      </wps:spPr>
                      <wps:txbx>
                        <w:txbxContent>
                          <w:p w14:paraId="4FECCB8F" w14:textId="77777777" w:rsidR="00DD5C2B" w:rsidRPr="00170C87" w:rsidRDefault="00DD5C2B" w:rsidP="00DD5C2B">
                            <w:pPr>
                              <w:rPr>
                                <w:rFonts w:ascii="Garamond" w:hAnsi="Garamond"/>
                                <w:b/>
                                <w:sz w:val="22"/>
                                <w:szCs w:val="22"/>
                              </w:rPr>
                            </w:pPr>
                            <w:r w:rsidRPr="00170C87">
                              <w:rPr>
                                <w:rFonts w:ascii="Garamond" w:hAnsi="Garamond"/>
                                <w:b/>
                                <w:sz w:val="22"/>
                                <w:szCs w:val="22"/>
                              </w:rPr>
                              <w:t xml:space="preserve">Points </w:t>
                            </w:r>
                            <w:proofErr w:type="spellStart"/>
                            <w:r w:rsidRPr="00170C87">
                              <w:rPr>
                                <w:rFonts w:ascii="Garamond" w:hAnsi="Garamond"/>
                                <w:b/>
                                <w:sz w:val="22"/>
                                <w:szCs w:val="22"/>
                              </w:rPr>
                              <w:t>saillants</w:t>
                            </w:r>
                            <w:proofErr w:type="spellEnd"/>
                          </w:p>
                          <w:p w14:paraId="4A4A15A0" w14:textId="7B355AE6" w:rsidR="00DD5C2B" w:rsidRPr="00170C87" w:rsidRDefault="004602E3" w:rsidP="000E0BEF">
                            <w:pPr>
                              <w:pStyle w:val="ListParagraph"/>
                              <w:numPr>
                                <w:ilvl w:val="0"/>
                                <w:numId w:val="8"/>
                              </w:numPr>
                              <w:ind w:left="360"/>
                              <w:jc w:val="both"/>
                              <w:rPr>
                                <w:rFonts w:ascii="Garamond" w:hAnsi="Garamond"/>
                                <w:sz w:val="22"/>
                                <w:szCs w:val="22"/>
                                <w:lang w:val="fr-FR"/>
                              </w:rPr>
                            </w:pPr>
                            <w:r w:rsidRPr="00170C87">
                              <w:rPr>
                                <w:rFonts w:ascii="Garamond" w:hAnsi="Garamond"/>
                                <w:sz w:val="22"/>
                                <w:szCs w:val="22"/>
                                <w:lang w:val="fr-FR"/>
                              </w:rPr>
                              <w:t>De l’indépendance</w:t>
                            </w:r>
                            <w:r w:rsidR="00EB29F3" w:rsidRPr="00170C87">
                              <w:rPr>
                                <w:rFonts w:ascii="Garamond" w:hAnsi="Garamond"/>
                                <w:sz w:val="22"/>
                                <w:szCs w:val="22"/>
                                <w:lang w:val="fr-FR"/>
                              </w:rPr>
                              <w:t>,</w:t>
                            </w:r>
                            <w:r w:rsidRPr="00170C87">
                              <w:rPr>
                                <w:rFonts w:ascii="Garamond" w:hAnsi="Garamond"/>
                                <w:sz w:val="22"/>
                                <w:szCs w:val="22"/>
                                <w:lang w:val="fr-FR"/>
                              </w:rPr>
                              <w:t xml:space="preserve"> </w:t>
                            </w:r>
                            <w:r w:rsidR="00E83787" w:rsidRPr="00170C87">
                              <w:rPr>
                                <w:rFonts w:ascii="Garamond" w:hAnsi="Garamond"/>
                                <w:sz w:val="22"/>
                                <w:szCs w:val="22"/>
                                <w:lang w:val="fr-FR"/>
                              </w:rPr>
                              <w:t xml:space="preserve">en 1960 </w:t>
                            </w:r>
                            <w:r w:rsidRPr="00170C87">
                              <w:rPr>
                                <w:rFonts w:ascii="Garamond" w:hAnsi="Garamond"/>
                                <w:sz w:val="22"/>
                                <w:szCs w:val="22"/>
                                <w:lang w:val="fr-FR"/>
                              </w:rPr>
                              <w:t>à nos jours, l</w:t>
                            </w:r>
                            <w:r w:rsidR="00594441" w:rsidRPr="00170C87">
                              <w:rPr>
                                <w:rFonts w:ascii="Garamond" w:hAnsi="Garamond"/>
                                <w:sz w:val="22"/>
                                <w:szCs w:val="22"/>
                                <w:lang w:val="fr-FR"/>
                              </w:rPr>
                              <w:t xml:space="preserve">es subventions agricoles </w:t>
                            </w:r>
                            <w:r w:rsidR="0061676E" w:rsidRPr="00170C87">
                              <w:rPr>
                                <w:rFonts w:ascii="Garamond" w:hAnsi="Garamond"/>
                                <w:sz w:val="22"/>
                                <w:szCs w:val="22"/>
                                <w:lang w:val="fr-FR"/>
                              </w:rPr>
                              <w:t xml:space="preserve">ont </w:t>
                            </w:r>
                            <w:r w:rsidR="003D7C50" w:rsidRPr="00170C87">
                              <w:rPr>
                                <w:rFonts w:ascii="Garamond" w:hAnsi="Garamond"/>
                                <w:sz w:val="22"/>
                                <w:szCs w:val="22"/>
                                <w:lang w:val="fr-FR"/>
                              </w:rPr>
                              <w:t>constitu</w:t>
                            </w:r>
                            <w:r w:rsidR="0061676E" w:rsidRPr="00170C87">
                              <w:rPr>
                                <w:rFonts w:ascii="Garamond" w:hAnsi="Garamond"/>
                                <w:sz w:val="22"/>
                                <w:szCs w:val="22"/>
                                <w:lang w:val="fr-FR"/>
                              </w:rPr>
                              <w:t>é</w:t>
                            </w:r>
                            <w:r w:rsidR="003D7C50" w:rsidRPr="00170C87">
                              <w:rPr>
                                <w:rFonts w:ascii="Garamond" w:hAnsi="Garamond"/>
                                <w:sz w:val="22"/>
                                <w:szCs w:val="22"/>
                                <w:lang w:val="fr-FR"/>
                              </w:rPr>
                              <w:t xml:space="preserve"> un cercle vicieux pour l’Etat et </w:t>
                            </w:r>
                            <w:r w:rsidR="00594441" w:rsidRPr="00170C87">
                              <w:rPr>
                                <w:rFonts w:ascii="Garamond" w:hAnsi="Garamond"/>
                                <w:sz w:val="22"/>
                                <w:szCs w:val="22"/>
                                <w:lang w:val="fr-FR"/>
                              </w:rPr>
                              <w:t>n’ont jamais disparu des stratégies de soutien à l’</w:t>
                            </w:r>
                            <w:r w:rsidR="00EB29F3" w:rsidRPr="00170C87">
                              <w:rPr>
                                <w:rFonts w:ascii="Garamond" w:hAnsi="Garamond"/>
                                <w:sz w:val="22"/>
                                <w:szCs w:val="22"/>
                                <w:lang w:val="fr-FR"/>
                              </w:rPr>
                              <w:t>A</w:t>
                            </w:r>
                            <w:r w:rsidR="00594441" w:rsidRPr="00170C87">
                              <w:rPr>
                                <w:rFonts w:ascii="Garamond" w:hAnsi="Garamond"/>
                                <w:sz w:val="22"/>
                                <w:szCs w:val="22"/>
                                <w:lang w:val="fr-FR"/>
                              </w:rPr>
                              <w:t>griculture au Mali</w:t>
                            </w:r>
                            <w:r w:rsidR="00E760E1" w:rsidRPr="00170C87">
                              <w:rPr>
                                <w:rFonts w:ascii="Garamond" w:hAnsi="Garamond"/>
                                <w:sz w:val="22"/>
                                <w:szCs w:val="22"/>
                                <w:lang w:val="fr-FR"/>
                              </w:rPr>
                              <w:t>.</w:t>
                            </w:r>
                            <w:r w:rsidR="00DD5C2B" w:rsidRPr="00170C87">
                              <w:rPr>
                                <w:rFonts w:ascii="Garamond" w:hAnsi="Garamond"/>
                                <w:sz w:val="22"/>
                                <w:szCs w:val="22"/>
                                <w:lang w:val="fr-FR"/>
                              </w:rPr>
                              <w:t xml:space="preserve"> </w:t>
                            </w:r>
                          </w:p>
                          <w:p w14:paraId="172C6B73" w14:textId="267B2F6C" w:rsidR="00E760E1" w:rsidRPr="00170C87" w:rsidRDefault="00BE1476" w:rsidP="000E0BEF">
                            <w:pPr>
                              <w:pStyle w:val="ListParagraph"/>
                              <w:numPr>
                                <w:ilvl w:val="0"/>
                                <w:numId w:val="8"/>
                              </w:numPr>
                              <w:ind w:left="360"/>
                              <w:jc w:val="both"/>
                              <w:rPr>
                                <w:rFonts w:ascii="Garamond" w:hAnsi="Garamond"/>
                                <w:sz w:val="22"/>
                                <w:szCs w:val="22"/>
                                <w:lang w:val="fr-FR"/>
                              </w:rPr>
                            </w:pPr>
                            <w:r w:rsidRPr="00170C87">
                              <w:rPr>
                                <w:rFonts w:ascii="Garamond" w:hAnsi="Garamond"/>
                                <w:sz w:val="22"/>
                                <w:szCs w:val="22"/>
                                <w:lang w:val="fr-FR"/>
                              </w:rPr>
                              <w:t>De</w:t>
                            </w:r>
                            <w:r w:rsidR="00803842" w:rsidRPr="00170C87">
                              <w:rPr>
                                <w:rFonts w:ascii="Garamond" w:hAnsi="Garamond"/>
                                <w:sz w:val="22"/>
                                <w:szCs w:val="22"/>
                                <w:lang w:val="fr-FR"/>
                              </w:rPr>
                              <w:t xml:space="preserve"> </w:t>
                            </w:r>
                            <w:r w:rsidRPr="00170C87">
                              <w:rPr>
                                <w:rFonts w:ascii="Garamond" w:hAnsi="Garamond"/>
                                <w:sz w:val="22"/>
                                <w:szCs w:val="22"/>
                                <w:lang w:val="fr-FR"/>
                              </w:rPr>
                              <w:t>1960</w:t>
                            </w:r>
                            <w:r w:rsidR="00803842" w:rsidRPr="00170C87">
                              <w:rPr>
                                <w:rFonts w:ascii="Garamond" w:hAnsi="Garamond"/>
                                <w:sz w:val="22"/>
                                <w:szCs w:val="22"/>
                                <w:lang w:val="fr-FR"/>
                              </w:rPr>
                              <w:t xml:space="preserve"> à </w:t>
                            </w:r>
                            <w:r w:rsidRPr="00170C87">
                              <w:rPr>
                                <w:rFonts w:ascii="Garamond" w:hAnsi="Garamond"/>
                                <w:sz w:val="22"/>
                                <w:szCs w:val="22"/>
                                <w:lang w:val="fr-FR"/>
                              </w:rPr>
                              <w:t xml:space="preserve">1980, période du socialisme ou du « Tout État », </w:t>
                            </w:r>
                            <w:r w:rsidR="00803842" w:rsidRPr="00170C87">
                              <w:rPr>
                                <w:rFonts w:ascii="Garamond" w:hAnsi="Garamond"/>
                                <w:sz w:val="22"/>
                                <w:szCs w:val="22"/>
                                <w:lang w:val="fr-FR"/>
                              </w:rPr>
                              <w:t>d</w:t>
                            </w:r>
                            <w:r w:rsidR="00242277" w:rsidRPr="00170C87">
                              <w:rPr>
                                <w:rFonts w:ascii="Garamond" w:hAnsi="Garamond"/>
                                <w:sz w:val="22"/>
                                <w:szCs w:val="22"/>
                                <w:lang w:val="fr-FR"/>
                              </w:rPr>
                              <w:t>es subventions agricoles</w:t>
                            </w:r>
                            <w:r w:rsidR="00803842" w:rsidRPr="00170C87">
                              <w:rPr>
                                <w:rFonts w:ascii="Garamond" w:hAnsi="Garamond"/>
                                <w:sz w:val="22"/>
                                <w:szCs w:val="22"/>
                                <w:lang w:val="fr-FR"/>
                              </w:rPr>
                              <w:t xml:space="preserve"> peu contrôlées</w:t>
                            </w:r>
                            <w:r w:rsidR="00242277" w:rsidRPr="00170C87">
                              <w:rPr>
                                <w:rFonts w:ascii="Garamond" w:hAnsi="Garamond"/>
                                <w:sz w:val="22"/>
                                <w:szCs w:val="22"/>
                                <w:lang w:val="fr-FR"/>
                              </w:rPr>
                              <w:t xml:space="preserve"> </w:t>
                            </w:r>
                            <w:r w:rsidR="00EB29F3" w:rsidRPr="00170C87">
                              <w:rPr>
                                <w:rFonts w:ascii="Garamond" w:hAnsi="Garamond"/>
                                <w:sz w:val="22"/>
                                <w:szCs w:val="22"/>
                                <w:lang w:val="fr-FR"/>
                              </w:rPr>
                              <w:t>ont représenté</w:t>
                            </w:r>
                            <w:r w:rsidR="003D7C50" w:rsidRPr="00170C87">
                              <w:rPr>
                                <w:rFonts w:ascii="Garamond" w:hAnsi="Garamond"/>
                                <w:sz w:val="22"/>
                                <w:szCs w:val="22"/>
                                <w:lang w:val="fr-FR"/>
                              </w:rPr>
                              <w:t xml:space="preserve"> </w:t>
                            </w:r>
                            <w:r w:rsidR="00242277" w:rsidRPr="00170C87">
                              <w:rPr>
                                <w:rFonts w:ascii="Garamond" w:hAnsi="Garamond"/>
                                <w:sz w:val="22"/>
                                <w:szCs w:val="22"/>
                                <w:lang w:val="fr-FR"/>
                              </w:rPr>
                              <w:t>le principal mécanisme de financement de l’</w:t>
                            </w:r>
                            <w:r w:rsidR="00754354" w:rsidRPr="00170C87">
                              <w:rPr>
                                <w:rFonts w:ascii="Garamond" w:hAnsi="Garamond"/>
                                <w:sz w:val="22"/>
                                <w:szCs w:val="22"/>
                                <w:lang w:val="fr-FR"/>
                              </w:rPr>
                              <w:t>A</w:t>
                            </w:r>
                            <w:r w:rsidR="00242277" w:rsidRPr="00170C87">
                              <w:rPr>
                                <w:rFonts w:ascii="Garamond" w:hAnsi="Garamond"/>
                                <w:sz w:val="22"/>
                                <w:szCs w:val="22"/>
                                <w:lang w:val="fr-FR"/>
                              </w:rPr>
                              <w:t>griculture</w:t>
                            </w:r>
                            <w:r w:rsidRPr="00170C87">
                              <w:rPr>
                                <w:rFonts w:ascii="Garamond" w:hAnsi="Garamond"/>
                                <w:sz w:val="22"/>
                                <w:szCs w:val="22"/>
                                <w:lang w:val="fr-FR"/>
                              </w:rPr>
                              <w:t xml:space="preserve"> avec pour conséquence </w:t>
                            </w:r>
                            <w:r w:rsidR="007B641C" w:rsidRPr="00170C87">
                              <w:rPr>
                                <w:rFonts w:ascii="Garamond" w:hAnsi="Garamond"/>
                                <w:sz w:val="22"/>
                                <w:szCs w:val="22"/>
                                <w:lang w:val="fr-FR"/>
                              </w:rPr>
                              <w:t xml:space="preserve">un </w:t>
                            </w:r>
                            <w:r w:rsidRPr="00170C87">
                              <w:rPr>
                                <w:rFonts w:ascii="Garamond" w:hAnsi="Garamond"/>
                                <w:sz w:val="22"/>
                                <w:szCs w:val="22"/>
                                <w:lang w:val="fr-FR"/>
                              </w:rPr>
                              <w:t>surendettement d</w:t>
                            </w:r>
                            <w:r w:rsidR="00803842" w:rsidRPr="00170C87">
                              <w:rPr>
                                <w:rFonts w:ascii="Garamond" w:hAnsi="Garamond"/>
                                <w:sz w:val="22"/>
                                <w:szCs w:val="22"/>
                                <w:lang w:val="fr-FR"/>
                              </w:rPr>
                              <w:t>e l’Etat</w:t>
                            </w:r>
                            <w:r w:rsidR="007B641C" w:rsidRPr="00170C87">
                              <w:rPr>
                                <w:rFonts w:ascii="Garamond" w:hAnsi="Garamond"/>
                                <w:sz w:val="22"/>
                                <w:szCs w:val="22"/>
                                <w:lang w:val="fr-FR"/>
                              </w:rPr>
                              <w:t>.</w:t>
                            </w:r>
                            <w:r w:rsidR="00242277" w:rsidRPr="00170C87">
                              <w:rPr>
                                <w:rFonts w:ascii="Garamond" w:hAnsi="Garamond"/>
                                <w:sz w:val="22"/>
                                <w:szCs w:val="22"/>
                                <w:lang w:val="fr-FR"/>
                              </w:rPr>
                              <w:t xml:space="preserve"> </w:t>
                            </w:r>
                          </w:p>
                          <w:p w14:paraId="1E22E9D4" w14:textId="0449E8B3" w:rsidR="00DD5C2B" w:rsidRPr="00170C87" w:rsidRDefault="00803842" w:rsidP="000E0BEF">
                            <w:pPr>
                              <w:pStyle w:val="ListParagraph"/>
                              <w:numPr>
                                <w:ilvl w:val="0"/>
                                <w:numId w:val="8"/>
                              </w:numPr>
                              <w:ind w:left="360"/>
                              <w:jc w:val="both"/>
                              <w:rPr>
                                <w:rFonts w:ascii="Garamond" w:hAnsi="Garamond"/>
                                <w:sz w:val="22"/>
                                <w:szCs w:val="22"/>
                                <w:lang w:val="fr-FR"/>
                              </w:rPr>
                            </w:pPr>
                            <w:r w:rsidRPr="00170C87">
                              <w:rPr>
                                <w:rFonts w:ascii="Garamond" w:hAnsi="Garamond"/>
                                <w:sz w:val="22"/>
                                <w:szCs w:val="22"/>
                                <w:lang w:val="fr-FR"/>
                              </w:rPr>
                              <w:t xml:space="preserve">De </w:t>
                            </w:r>
                            <w:r w:rsidR="00BE1476" w:rsidRPr="00170C87">
                              <w:rPr>
                                <w:rFonts w:ascii="Garamond" w:hAnsi="Garamond"/>
                                <w:sz w:val="22"/>
                                <w:szCs w:val="22"/>
                                <w:lang w:val="fr-FR"/>
                              </w:rPr>
                              <w:t>1980</w:t>
                            </w:r>
                            <w:r w:rsidRPr="00170C87">
                              <w:rPr>
                                <w:rFonts w:ascii="Garamond" w:hAnsi="Garamond"/>
                                <w:sz w:val="22"/>
                                <w:szCs w:val="22"/>
                                <w:lang w:val="fr-FR"/>
                              </w:rPr>
                              <w:t xml:space="preserve"> à </w:t>
                            </w:r>
                            <w:r w:rsidR="00BE1476" w:rsidRPr="00170C87">
                              <w:rPr>
                                <w:rFonts w:ascii="Garamond" w:hAnsi="Garamond"/>
                                <w:sz w:val="22"/>
                                <w:szCs w:val="22"/>
                                <w:lang w:val="fr-FR"/>
                              </w:rPr>
                              <w:t xml:space="preserve">1990, </w:t>
                            </w:r>
                            <w:proofErr w:type="spellStart"/>
                            <w:r w:rsidR="00BE1476" w:rsidRPr="00170C87">
                              <w:rPr>
                                <w:rFonts w:ascii="Garamond" w:hAnsi="Garamond"/>
                                <w:sz w:val="22"/>
                                <w:szCs w:val="22"/>
                                <w:lang w:val="fr-FR"/>
                              </w:rPr>
                              <w:t>periode</w:t>
                            </w:r>
                            <w:proofErr w:type="spellEnd"/>
                            <w:r w:rsidR="00BE1476" w:rsidRPr="00170C87">
                              <w:rPr>
                                <w:rFonts w:ascii="Garamond" w:hAnsi="Garamond"/>
                                <w:sz w:val="22"/>
                                <w:szCs w:val="22"/>
                                <w:lang w:val="fr-FR"/>
                              </w:rPr>
                              <w:t xml:space="preserve"> de l’ajustement structurel, </w:t>
                            </w:r>
                            <w:r w:rsidR="007B641C" w:rsidRPr="00170C87">
                              <w:rPr>
                                <w:rFonts w:ascii="Garamond" w:hAnsi="Garamond"/>
                                <w:sz w:val="22"/>
                                <w:szCs w:val="22"/>
                                <w:lang w:val="fr-FR"/>
                              </w:rPr>
                              <w:t xml:space="preserve">les subventions agricoles ont été remises en cause et </w:t>
                            </w:r>
                            <w:r w:rsidR="00754354" w:rsidRPr="00170C87">
                              <w:rPr>
                                <w:rFonts w:ascii="Garamond" w:hAnsi="Garamond"/>
                                <w:sz w:val="22"/>
                                <w:szCs w:val="22"/>
                                <w:lang w:val="fr-FR"/>
                              </w:rPr>
                              <w:t xml:space="preserve">depuis lors, </w:t>
                            </w:r>
                            <w:r w:rsidR="00BE1476" w:rsidRPr="00170C87">
                              <w:rPr>
                                <w:rFonts w:ascii="Garamond" w:hAnsi="Garamond"/>
                                <w:sz w:val="22"/>
                                <w:szCs w:val="22"/>
                                <w:lang w:val="fr-FR"/>
                              </w:rPr>
                              <w:t>l</w:t>
                            </w:r>
                            <w:r w:rsidR="00242277" w:rsidRPr="00170C87">
                              <w:rPr>
                                <w:rFonts w:ascii="Garamond" w:hAnsi="Garamond"/>
                                <w:sz w:val="22"/>
                                <w:szCs w:val="22"/>
                                <w:lang w:val="fr-FR"/>
                              </w:rPr>
                              <w:t>’Éta</w:t>
                            </w:r>
                            <w:r w:rsidR="00754354" w:rsidRPr="00170C87">
                              <w:rPr>
                                <w:rFonts w:ascii="Garamond" w:hAnsi="Garamond"/>
                                <w:sz w:val="22"/>
                                <w:szCs w:val="22"/>
                                <w:lang w:val="fr-FR"/>
                              </w:rPr>
                              <w:t xml:space="preserve">t </w:t>
                            </w:r>
                            <w:r w:rsidR="00242277" w:rsidRPr="00170C87">
                              <w:rPr>
                                <w:rFonts w:ascii="Garamond" w:hAnsi="Garamond"/>
                                <w:sz w:val="22"/>
                                <w:szCs w:val="22"/>
                                <w:lang w:val="fr-FR"/>
                              </w:rPr>
                              <w:t xml:space="preserve">a commencé </w:t>
                            </w:r>
                            <w:r w:rsidR="00754354" w:rsidRPr="00170C87">
                              <w:rPr>
                                <w:rFonts w:ascii="Garamond" w:hAnsi="Garamond"/>
                                <w:sz w:val="22"/>
                                <w:szCs w:val="22"/>
                                <w:lang w:val="fr-FR"/>
                              </w:rPr>
                              <w:t xml:space="preserve">un </w:t>
                            </w:r>
                            <w:r w:rsidR="00242277" w:rsidRPr="00170C87">
                              <w:rPr>
                                <w:rFonts w:ascii="Garamond" w:hAnsi="Garamond"/>
                                <w:sz w:val="22"/>
                                <w:szCs w:val="22"/>
                                <w:lang w:val="fr-FR"/>
                              </w:rPr>
                              <w:t>retrait</w:t>
                            </w:r>
                            <w:r w:rsidR="00754354" w:rsidRPr="00170C87">
                              <w:rPr>
                                <w:rFonts w:ascii="Garamond" w:hAnsi="Garamond"/>
                                <w:sz w:val="22"/>
                                <w:szCs w:val="22"/>
                                <w:lang w:val="fr-FR"/>
                              </w:rPr>
                              <w:t xml:space="preserve"> progressif</w:t>
                            </w:r>
                            <w:r w:rsidR="00BE1476" w:rsidRPr="00170C87">
                              <w:rPr>
                                <w:rFonts w:ascii="Garamond" w:hAnsi="Garamond"/>
                                <w:sz w:val="22"/>
                                <w:szCs w:val="22"/>
                                <w:lang w:val="fr-FR"/>
                              </w:rPr>
                              <w:t xml:space="preserve">. </w:t>
                            </w:r>
                          </w:p>
                          <w:p w14:paraId="34734E5F" w14:textId="13393414" w:rsidR="0032141E" w:rsidRPr="00170C87" w:rsidRDefault="007B641C" w:rsidP="00EC6826">
                            <w:pPr>
                              <w:pStyle w:val="ListParagraph"/>
                              <w:numPr>
                                <w:ilvl w:val="0"/>
                                <w:numId w:val="6"/>
                              </w:numPr>
                              <w:autoSpaceDE w:val="0"/>
                              <w:autoSpaceDN w:val="0"/>
                              <w:adjustRightInd w:val="0"/>
                              <w:ind w:left="450"/>
                              <w:jc w:val="both"/>
                              <w:rPr>
                                <w:rFonts w:ascii="Garamond" w:hAnsi="Garamond"/>
                                <w:sz w:val="22"/>
                                <w:szCs w:val="22"/>
                                <w:lang w:val="fr-FR"/>
                              </w:rPr>
                            </w:pPr>
                            <w:r w:rsidRPr="00170C87">
                              <w:rPr>
                                <w:rFonts w:ascii="Garamond" w:hAnsi="Garamond"/>
                                <w:sz w:val="22"/>
                                <w:szCs w:val="22"/>
                                <w:lang w:val="fr-FR"/>
                              </w:rPr>
                              <w:t xml:space="preserve">De 1990 à 2005, </w:t>
                            </w:r>
                            <w:r w:rsidR="00803842" w:rsidRPr="00170C87">
                              <w:rPr>
                                <w:rFonts w:ascii="Garamond" w:hAnsi="Garamond"/>
                                <w:sz w:val="22"/>
                                <w:szCs w:val="22"/>
                                <w:lang w:val="fr-FR"/>
                              </w:rPr>
                              <w:t xml:space="preserve">dès les </w:t>
                            </w:r>
                            <w:r w:rsidRPr="00170C87">
                              <w:rPr>
                                <w:rFonts w:ascii="Garamond" w:hAnsi="Garamond"/>
                                <w:sz w:val="22"/>
                                <w:szCs w:val="22"/>
                                <w:lang w:val="fr-FR"/>
                              </w:rPr>
                              <w:t>premières</w:t>
                            </w:r>
                            <w:r w:rsidR="00803842" w:rsidRPr="00170C87">
                              <w:rPr>
                                <w:rFonts w:ascii="Garamond" w:hAnsi="Garamond"/>
                                <w:sz w:val="22"/>
                                <w:szCs w:val="22"/>
                                <w:lang w:val="fr-FR"/>
                              </w:rPr>
                              <w:t xml:space="preserve"> </w:t>
                            </w:r>
                            <w:r w:rsidRPr="00170C87">
                              <w:rPr>
                                <w:rFonts w:ascii="Garamond" w:hAnsi="Garamond"/>
                                <w:sz w:val="22"/>
                                <w:szCs w:val="22"/>
                                <w:lang w:val="fr-FR"/>
                              </w:rPr>
                              <w:t>années de libéralisation</w:t>
                            </w:r>
                            <w:r w:rsidR="00803842" w:rsidRPr="00170C87">
                              <w:rPr>
                                <w:rFonts w:ascii="Garamond" w:hAnsi="Garamond"/>
                                <w:sz w:val="22"/>
                                <w:szCs w:val="22"/>
                                <w:lang w:val="fr-FR"/>
                              </w:rPr>
                              <w:t xml:space="preserve"> de l’économie</w:t>
                            </w:r>
                            <w:r w:rsidRPr="00170C87">
                              <w:rPr>
                                <w:rFonts w:ascii="Garamond" w:hAnsi="Garamond"/>
                                <w:sz w:val="22"/>
                                <w:szCs w:val="22"/>
                                <w:lang w:val="fr-FR"/>
                              </w:rPr>
                              <w:t>, l</w:t>
                            </w:r>
                            <w:r w:rsidR="001A286B" w:rsidRPr="00170C87">
                              <w:rPr>
                                <w:rFonts w:ascii="Garamond" w:hAnsi="Garamond"/>
                                <w:sz w:val="22"/>
                                <w:szCs w:val="22"/>
                                <w:lang w:val="fr-FR"/>
                              </w:rPr>
                              <w:t xml:space="preserve">es subventions </w:t>
                            </w:r>
                            <w:r w:rsidRPr="00170C87">
                              <w:rPr>
                                <w:rFonts w:ascii="Garamond" w:hAnsi="Garamond"/>
                                <w:sz w:val="22"/>
                                <w:szCs w:val="22"/>
                                <w:lang w:val="fr-FR"/>
                              </w:rPr>
                              <w:t xml:space="preserve">agricoles </w:t>
                            </w:r>
                            <w:r w:rsidR="001A286B" w:rsidRPr="00170C87">
                              <w:rPr>
                                <w:rFonts w:ascii="Garamond" w:hAnsi="Garamond"/>
                                <w:sz w:val="22"/>
                                <w:szCs w:val="22"/>
                                <w:lang w:val="fr-FR"/>
                              </w:rPr>
                              <w:t>ont été supprimées pour la plupart des filières agricoles à l’exception de la filière coton</w:t>
                            </w:r>
                            <w:r w:rsidRPr="00170C87">
                              <w:rPr>
                                <w:rFonts w:ascii="Garamond" w:hAnsi="Garamond"/>
                                <w:sz w:val="22"/>
                                <w:szCs w:val="22"/>
                                <w:lang w:val="fr-FR"/>
                              </w:rPr>
                              <w:t>.</w:t>
                            </w:r>
                            <w:r w:rsidR="001A286B" w:rsidRPr="00170C87">
                              <w:rPr>
                                <w:rFonts w:ascii="Garamond" w:hAnsi="Garamond"/>
                                <w:sz w:val="22"/>
                                <w:szCs w:val="22"/>
                                <w:lang w:val="fr-FR"/>
                              </w:rPr>
                              <w:t xml:space="preserve"> </w:t>
                            </w:r>
                          </w:p>
                          <w:p w14:paraId="3C7135B2" w14:textId="352F7657" w:rsidR="00DD5C2B" w:rsidRPr="00170C87" w:rsidRDefault="00756008" w:rsidP="008C2D32">
                            <w:pPr>
                              <w:pStyle w:val="ListParagraph"/>
                              <w:numPr>
                                <w:ilvl w:val="0"/>
                                <w:numId w:val="6"/>
                              </w:numPr>
                              <w:autoSpaceDE w:val="0"/>
                              <w:autoSpaceDN w:val="0"/>
                              <w:adjustRightInd w:val="0"/>
                              <w:ind w:left="450"/>
                              <w:jc w:val="both"/>
                              <w:rPr>
                                <w:rFonts w:ascii="Garamond" w:hAnsi="Garamond"/>
                                <w:sz w:val="22"/>
                                <w:szCs w:val="22"/>
                                <w:lang w:val="fr-FR"/>
                              </w:rPr>
                            </w:pPr>
                            <w:r w:rsidRPr="00170C87">
                              <w:rPr>
                                <w:rFonts w:ascii="Garamond" w:hAnsi="Garamond"/>
                                <w:sz w:val="22"/>
                                <w:szCs w:val="22"/>
                                <w:lang w:val="fr-FR"/>
                              </w:rPr>
                              <w:t>De</w:t>
                            </w:r>
                            <w:r w:rsidR="007B641C" w:rsidRPr="00170C87">
                              <w:rPr>
                                <w:rFonts w:ascii="Garamond" w:hAnsi="Garamond"/>
                                <w:sz w:val="22"/>
                                <w:szCs w:val="22"/>
                                <w:lang w:val="fr-FR"/>
                              </w:rPr>
                              <w:t xml:space="preserve"> 2007</w:t>
                            </w:r>
                            <w:r w:rsidRPr="00170C87">
                              <w:rPr>
                                <w:rFonts w:ascii="Garamond" w:hAnsi="Garamond"/>
                                <w:sz w:val="22"/>
                                <w:szCs w:val="22"/>
                                <w:lang w:val="fr-FR"/>
                              </w:rPr>
                              <w:t xml:space="preserve"> à nos jours</w:t>
                            </w:r>
                            <w:r w:rsidR="007B641C" w:rsidRPr="00170C87">
                              <w:rPr>
                                <w:rFonts w:ascii="Garamond" w:hAnsi="Garamond"/>
                                <w:sz w:val="22"/>
                                <w:szCs w:val="22"/>
                                <w:lang w:val="fr-FR"/>
                              </w:rPr>
                              <w:t>, à la faveur de la crise alimentaire et nutritionnelle mondiale et la déclaration d’Abuja sur les engrais de 2006, l</w:t>
                            </w:r>
                            <w:r w:rsidR="00242277" w:rsidRPr="00170C87">
                              <w:rPr>
                                <w:rFonts w:ascii="Garamond" w:hAnsi="Garamond"/>
                                <w:sz w:val="22"/>
                                <w:szCs w:val="22"/>
                                <w:lang w:val="fr-FR"/>
                              </w:rPr>
                              <w:t>es politiques de subvention agricole ont été réhabilité</w:t>
                            </w:r>
                            <w:r w:rsidR="003D7C50" w:rsidRPr="00170C87">
                              <w:rPr>
                                <w:rFonts w:ascii="Garamond" w:hAnsi="Garamond"/>
                                <w:sz w:val="22"/>
                                <w:szCs w:val="22"/>
                                <w:lang w:val="fr-FR"/>
                              </w:rPr>
                              <w:t>e</w:t>
                            </w:r>
                            <w:r w:rsidR="00242277" w:rsidRPr="00170C87">
                              <w:rPr>
                                <w:rFonts w:ascii="Garamond" w:hAnsi="Garamond"/>
                                <w:sz w:val="22"/>
                                <w:szCs w:val="22"/>
                                <w:lang w:val="fr-FR"/>
                              </w:rPr>
                              <w:t>s</w:t>
                            </w:r>
                            <w:r w:rsidR="00754354" w:rsidRPr="00170C87">
                              <w:rPr>
                                <w:rFonts w:ascii="Garamond" w:hAnsi="Garamond"/>
                                <w:sz w:val="22"/>
                                <w:szCs w:val="22"/>
                                <w:lang w:val="fr-FR"/>
                              </w:rPr>
                              <w:t>,</w:t>
                            </w:r>
                            <w:r w:rsidR="00242277" w:rsidRPr="00170C87">
                              <w:rPr>
                                <w:rFonts w:ascii="Garamond" w:hAnsi="Garamond"/>
                                <w:sz w:val="22"/>
                                <w:szCs w:val="22"/>
                                <w:lang w:val="fr-FR"/>
                              </w:rPr>
                              <w:t xml:space="preserve"> </w:t>
                            </w:r>
                            <w:r w:rsidR="003D7C50" w:rsidRPr="00170C87">
                              <w:rPr>
                                <w:rFonts w:ascii="Garamond" w:hAnsi="Garamond"/>
                                <w:sz w:val="22"/>
                                <w:szCs w:val="22"/>
                                <w:lang w:val="fr-FR"/>
                              </w:rPr>
                              <w:t xml:space="preserve">puis </w:t>
                            </w:r>
                            <w:r w:rsidR="00242277" w:rsidRPr="00170C87">
                              <w:rPr>
                                <w:rFonts w:ascii="Garamond" w:hAnsi="Garamond"/>
                                <w:sz w:val="22"/>
                                <w:szCs w:val="22"/>
                                <w:lang w:val="fr-FR"/>
                              </w:rPr>
                              <w:t>remise</w:t>
                            </w:r>
                            <w:r w:rsidR="00954B7D" w:rsidRPr="00170C87">
                              <w:rPr>
                                <w:rFonts w:ascii="Garamond" w:hAnsi="Garamond"/>
                                <w:sz w:val="22"/>
                                <w:szCs w:val="22"/>
                                <w:lang w:val="fr-FR"/>
                              </w:rPr>
                              <w:t>s</w:t>
                            </w:r>
                            <w:r w:rsidR="00242277" w:rsidRPr="00170C87">
                              <w:rPr>
                                <w:rFonts w:ascii="Garamond" w:hAnsi="Garamond"/>
                                <w:sz w:val="22"/>
                                <w:szCs w:val="22"/>
                                <w:lang w:val="fr-FR"/>
                              </w:rPr>
                              <w:t xml:space="preserve"> en selle</w:t>
                            </w:r>
                            <w:r w:rsidR="007B641C" w:rsidRPr="00170C87">
                              <w:rPr>
                                <w:rFonts w:ascii="Garamond" w:hAnsi="Garamond"/>
                                <w:sz w:val="22"/>
                                <w:szCs w:val="22"/>
                                <w:lang w:val="fr-FR"/>
                              </w:rPr>
                              <w:t>.</w:t>
                            </w:r>
                            <w:r w:rsidR="00242277" w:rsidRPr="00170C87">
                              <w:rPr>
                                <w:rFonts w:ascii="Garamond" w:hAnsi="Garamond"/>
                                <w:sz w:val="22"/>
                                <w:szCs w:val="22"/>
                                <w:lang w:val="fr-FR"/>
                              </w:rPr>
                              <w:t xml:space="preserve"> </w:t>
                            </w:r>
                          </w:p>
                          <w:p w14:paraId="78DBB886" w14:textId="66B40131" w:rsidR="00492399" w:rsidRPr="00170C87" w:rsidRDefault="00213DE7" w:rsidP="008C2D32">
                            <w:pPr>
                              <w:pStyle w:val="ListParagraph"/>
                              <w:numPr>
                                <w:ilvl w:val="0"/>
                                <w:numId w:val="6"/>
                              </w:numPr>
                              <w:autoSpaceDE w:val="0"/>
                              <w:autoSpaceDN w:val="0"/>
                              <w:adjustRightInd w:val="0"/>
                              <w:ind w:left="450"/>
                              <w:jc w:val="both"/>
                              <w:rPr>
                                <w:rFonts w:ascii="Garamond" w:hAnsi="Garamond"/>
                                <w:sz w:val="22"/>
                                <w:szCs w:val="22"/>
                                <w:lang w:val="fr-FR"/>
                              </w:rPr>
                            </w:pPr>
                            <w:r w:rsidRPr="00170C87">
                              <w:rPr>
                                <w:rFonts w:ascii="Garamond" w:hAnsi="Garamond"/>
                                <w:sz w:val="22"/>
                                <w:szCs w:val="22"/>
                                <w:lang w:val="fr-FR"/>
                              </w:rPr>
                              <w:t>De nos jours, l</w:t>
                            </w:r>
                            <w:r w:rsidR="00A6315F" w:rsidRPr="00170C87">
                              <w:rPr>
                                <w:rFonts w:ascii="Garamond" w:hAnsi="Garamond"/>
                                <w:sz w:val="22"/>
                                <w:szCs w:val="22"/>
                                <w:lang w:val="fr-FR"/>
                              </w:rPr>
                              <w:t xml:space="preserve">es producteurs et les opérateurs économiques ont intégré </w:t>
                            </w:r>
                            <w:r w:rsidR="00A074F6" w:rsidRPr="00170C87">
                              <w:rPr>
                                <w:rFonts w:ascii="Garamond" w:hAnsi="Garamond"/>
                                <w:sz w:val="22"/>
                                <w:szCs w:val="22"/>
                                <w:lang w:val="fr-FR"/>
                              </w:rPr>
                              <w:t>l</w:t>
                            </w:r>
                            <w:r w:rsidR="00A6315F" w:rsidRPr="00170C87">
                              <w:rPr>
                                <w:rFonts w:ascii="Garamond" w:hAnsi="Garamond"/>
                                <w:sz w:val="22"/>
                                <w:szCs w:val="22"/>
                                <w:lang w:val="fr-FR"/>
                              </w:rPr>
                              <w:t>es subventions</w:t>
                            </w:r>
                            <w:r w:rsidRPr="00170C87">
                              <w:rPr>
                                <w:rFonts w:ascii="Garamond" w:hAnsi="Garamond"/>
                                <w:sz w:val="22"/>
                                <w:szCs w:val="22"/>
                                <w:lang w:val="fr-FR"/>
                              </w:rPr>
                              <w:t xml:space="preserve"> d’engrais</w:t>
                            </w:r>
                            <w:r w:rsidR="00A6315F" w:rsidRPr="00170C87">
                              <w:rPr>
                                <w:rFonts w:ascii="Garamond" w:hAnsi="Garamond"/>
                                <w:sz w:val="22"/>
                                <w:szCs w:val="22"/>
                                <w:lang w:val="fr-FR"/>
                              </w:rPr>
                              <w:t xml:space="preserve"> dans leur</w:t>
                            </w:r>
                            <w:r w:rsidR="005D568B" w:rsidRPr="00170C87">
                              <w:rPr>
                                <w:rFonts w:ascii="Garamond" w:hAnsi="Garamond"/>
                                <w:sz w:val="22"/>
                                <w:szCs w:val="22"/>
                                <w:lang w:val="fr-FR"/>
                              </w:rPr>
                              <w:t>s</w:t>
                            </w:r>
                            <w:r w:rsidR="00A6315F" w:rsidRPr="00170C87">
                              <w:rPr>
                                <w:rFonts w:ascii="Garamond" w:hAnsi="Garamond"/>
                                <w:sz w:val="22"/>
                                <w:szCs w:val="22"/>
                                <w:lang w:val="fr-FR"/>
                              </w:rPr>
                              <w:t xml:space="preserve"> stratégies de financement</w:t>
                            </w:r>
                            <w:r w:rsidR="00AD5253" w:rsidRPr="00170C87">
                              <w:rPr>
                                <w:rFonts w:ascii="Garamond" w:hAnsi="Garamond"/>
                                <w:sz w:val="22"/>
                                <w:szCs w:val="22"/>
                                <w:lang w:val="fr-FR"/>
                              </w:rPr>
                              <w:t xml:space="preserve"> et il </w:t>
                            </w:r>
                            <w:r w:rsidR="00A6315F" w:rsidRPr="00170C87">
                              <w:rPr>
                                <w:rFonts w:ascii="Garamond" w:hAnsi="Garamond"/>
                                <w:sz w:val="22"/>
                                <w:szCs w:val="22"/>
                                <w:lang w:val="fr-FR"/>
                              </w:rPr>
                              <w:t>sera de plus en plus difficile pour l’État d’en sortir.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F335" id="_x0000_t202" coordsize="21600,21600" o:spt="202" path="m,l,21600r21600,l21600,xe">
                <v:stroke joinstyle="miter"/>
                <v:path gradientshapeok="t" o:connecttype="rect"/>
              </v:shapetype>
              <v:shape id="Text Box 2" o:spid="_x0000_s1026" type="#_x0000_t202" style="position:absolute;left:0;text-align:left;margin-left:292.5pt;margin-top:25.15pt;width:246.6pt;height:3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" fillcolor="#e6e7e8" stroked="f">
                <v:textbox>
                  <w:txbxContent>
                    <w:p w14:paraId="4FECCB8F" w14:textId="77777777" w:rsidR="00DD5C2B" w:rsidRPr="00170C87" w:rsidRDefault="00DD5C2B" w:rsidP="00DD5C2B">
                      <w:pPr>
                        <w:rPr>
                          <w:rFonts w:ascii="Garamond" w:hAnsi="Garamond"/>
                          <w:b/>
                          <w:sz w:val="22"/>
                          <w:szCs w:val="22"/>
                        </w:rPr>
                      </w:pPr>
                      <w:r w:rsidRPr="00170C87">
                        <w:rPr>
                          <w:rFonts w:ascii="Garamond" w:hAnsi="Garamond"/>
                          <w:b/>
                          <w:sz w:val="22"/>
                          <w:szCs w:val="22"/>
                        </w:rPr>
                        <w:t xml:space="preserve">Points </w:t>
                      </w:r>
                      <w:proofErr w:type="spellStart"/>
                      <w:r w:rsidRPr="00170C87">
                        <w:rPr>
                          <w:rFonts w:ascii="Garamond" w:hAnsi="Garamond"/>
                          <w:b/>
                          <w:sz w:val="22"/>
                          <w:szCs w:val="22"/>
                        </w:rPr>
                        <w:t>saillants</w:t>
                      </w:r>
                      <w:proofErr w:type="spellEnd"/>
                    </w:p>
                    <w:p w14:paraId="4A4A15A0" w14:textId="7B355AE6" w:rsidR="00DD5C2B" w:rsidRPr="00170C87" w:rsidRDefault="004602E3" w:rsidP="000E0BEF">
                      <w:pPr>
                        <w:pStyle w:val="ListParagraph"/>
                        <w:numPr>
                          <w:ilvl w:val="0"/>
                          <w:numId w:val="8"/>
                        </w:numPr>
                        <w:ind w:left="360"/>
                        <w:jc w:val="both"/>
                        <w:rPr>
                          <w:rFonts w:ascii="Garamond" w:hAnsi="Garamond"/>
                          <w:sz w:val="22"/>
                          <w:szCs w:val="22"/>
                          <w:lang w:val="fr-FR"/>
                        </w:rPr>
                      </w:pPr>
                      <w:r w:rsidRPr="00170C87">
                        <w:rPr>
                          <w:rFonts w:ascii="Garamond" w:hAnsi="Garamond"/>
                          <w:sz w:val="22"/>
                          <w:szCs w:val="22"/>
                          <w:lang w:val="fr-FR"/>
                        </w:rPr>
                        <w:t>De l’indépendance</w:t>
                      </w:r>
                      <w:r w:rsidR="00EB29F3" w:rsidRPr="00170C87">
                        <w:rPr>
                          <w:rFonts w:ascii="Garamond" w:hAnsi="Garamond"/>
                          <w:sz w:val="22"/>
                          <w:szCs w:val="22"/>
                          <w:lang w:val="fr-FR"/>
                        </w:rPr>
                        <w:t>,</w:t>
                      </w:r>
                      <w:r w:rsidRPr="00170C87">
                        <w:rPr>
                          <w:rFonts w:ascii="Garamond" w:hAnsi="Garamond"/>
                          <w:sz w:val="22"/>
                          <w:szCs w:val="22"/>
                          <w:lang w:val="fr-FR"/>
                        </w:rPr>
                        <w:t xml:space="preserve"> </w:t>
                      </w:r>
                      <w:r w:rsidR="00E83787" w:rsidRPr="00170C87">
                        <w:rPr>
                          <w:rFonts w:ascii="Garamond" w:hAnsi="Garamond"/>
                          <w:sz w:val="22"/>
                          <w:szCs w:val="22"/>
                          <w:lang w:val="fr-FR"/>
                        </w:rPr>
                        <w:t xml:space="preserve">en 1960 </w:t>
                      </w:r>
                      <w:r w:rsidRPr="00170C87">
                        <w:rPr>
                          <w:rFonts w:ascii="Garamond" w:hAnsi="Garamond"/>
                          <w:sz w:val="22"/>
                          <w:szCs w:val="22"/>
                          <w:lang w:val="fr-FR"/>
                        </w:rPr>
                        <w:t>à nos jours, l</w:t>
                      </w:r>
                      <w:r w:rsidR="00594441" w:rsidRPr="00170C87">
                        <w:rPr>
                          <w:rFonts w:ascii="Garamond" w:hAnsi="Garamond"/>
                          <w:sz w:val="22"/>
                          <w:szCs w:val="22"/>
                          <w:lang w:val="fr-FR"/>
                        </w:rPr>
                        <w:t xml:space="preserve">es subventions agricoles </w:t>
                      </w:r>
                      <w:r w:rsidR="0061676E" w:rsidRPr="00170C87">
                        <w:rPr>
                          <w:rFonts w:ascii="Garamond" w:hAnsi="Garamond"/>
                          <w:sz w:val="22"/>
                          <w:szCs w:val="22"/>
                          <w:lang w:val="fr-FR"/>
                        </w:rPr>
                        <w:t xml:space="preserve">ont </w:t>
                      </w:r>
                      <w:r w:rsidR="003D7C50" w:rsidRPr="00170C87">
                        <w:rPr>
                          <w:rFonts w:ascii="Garamond" w:hAnsi="Garamond"/>
                          <w:sz w:val="22"/>
                          <w:szCs w:val="22"/>
                          <w:lang w:val="fr-FR"/>
                        </w:rPr>
                        <w:t>constitu</w:t>
                      </w:r>
                      <w:r w:rsidR="0061676E" w:rsidRPr="00170C87">
                        <w:rPr>
                          <w:rFonts w:ascii="Garamond" w:hAnsi="Garamond"/>
                          <w:sz w:val="22"/>
                          <w:szCs w:val="22"/>
                          <w:lang w:val="fr-FR"/>
                        </w:rPr>
                        <w:t>é</w:t>
                      </w:r>
                      <w:r w:rsidR="003D7C50" w:rsidRPr="00170C87">
                        <w:rPr>
                          <w:rFonts w:ascii="Garamond" w:hAnsi="Garamond"/>
                          <w:sz w:val="22"/>
                          <w:szCs w:val="22"/>
                          <w:lang w:val="fr-FR"/>
                        </w:rPr>
                        <w:t xml:space="preserve"> un cercle vicieux pour l’Etat et </w:t>
                      </w:r>
                      <w:r w:rsidR="00594441" w:rsidRPr="00170C87">
                        <w:rPr>
                          <w:rFonts w:ascii="Garamond" w:hAnsi="Garamond"/>
                          <w:sz w:val="22"/>
                          <w:szCs w:val="22"/>
                          <w:lang w:val="fr-FR"/>
                        </w:rPr>
                        <w:t>n’ont jamais disparu des stratégies de soutien à l’</w:t>
                      </w:r>
                      <w:r w:rsidR="00EB29F3" w:rsidRPr="00170C87">
                        <w:rPr>
                          <w:rFonts w:ascii="Garamond" w:hAnsi="Garamond"/>
                          <w:sz w:val="22"/>
                          <w:szCs w:val="22"/>
                          <w:lang w:val="fr-FR"/>
                        </w:rPr>
                        <w:t>A</w:t>
                      </w:r>
                      <w:r w:rsidR="00594441" w:rsidRPr="00170C87">
                        <w:rPr>
                          <w:rFonts w:ascii="Garamond" w:hAnsi="Garamond"/>
                          <w:sz w:val="22"/>
                          <w:szCs w:val="22"/>
                          <w:lang w:val="fr-FR"/>
                        </w:rPr>
                        <w:t>griculture au Mali</w:t>
                      </w:r>
                      <w:r w:rsidR="00E760E1" w:rsidRPr="00170C87">
                        <w:rPr>
                          <w:rFonts w:ascii="Garamond" w:hAnsi="Garamond"/>
                          <w:sz w:val="22"/>
                          <w:szCs w:val="22"/>
                          <w:lang w:val="fr-FR"/>
                        </w:rPr>
                        <w:t>.</w:t>
                      </w:r>
                      <w:r w:rsidR="00DD5C2B" w:rsidRPr="00170C87">
                        <w:rPr>
                          <w:rFonts w:ascii="Garamond" w:hAnsi="Garamond"/>
                          <w:sz w:val="22"/>
                          <w:szCs w:val="22"/>
                          <w:lang w:val="fr-FR"/>
                        </w:rPr>
                        <w:t xml:space="preserve"> </w:t>
                      </w:r>
                    </w:p>
                    <w:p w14:paraId="172C6B73" w14:textId="267B2F6C" w:rsidR="00E760E1" w:rsidRPr="00170C87" w:rsidRDefault="00BE1476" w:rsidP="000E0BEF">
                      <w:pPr>
                        <w:pStyle w:val="ListParagraph"/>
                        <w:numPr>
                          <w:ilvl w:val="0"/>
                          <w:numId w:val="8"/>
                        </w:numPr>
                        <w:ind w:left="360"/>
                        <w:jc w:val="both"/>
                        <w:rPr>
                          <w:rFonts w:ascii="Garamond" w:hAnsi="Garamond"/>
                          <w:sz w:val="22"/>
                          <w:szCs w:val="22"/>
                          <w:lang w:val="fr-FR"/>
                        </w:rPr>
                      </w:pPr>
                      <w:r w:rsidRPr="00170C87">
                        <w:rPr>
                          <w:rFonts w:ascii="Garamond" w:hAnsi="Garamond"/>
                          <w:sz w:val="22"/>
                          <w:szCs w:val="22"/>
                          <w:lang w:val="fr-FR"/>
                        </w:rPr>
                        <w:t>De</w:t>
                      </w:r>
                      <w:r w:rsidR="00803842" w:rsidRPr="00170C87">
                        <w:rPr>
                          <w:rFonts w:ascii="Garamond" w:hAnsi="Garamond"/>
                          <w:sz w:val="22"/>
                          <w:szCs w:val="22"/>
                          <w:lang w:val="fr-FR"/>
                        </w:rPr>
                        <w:t xml:space="preserve"> </w:t>
                      </w:r>
                      <w:r w:rsidRPr="00170C87">
                        <w:rPr>
                          <w:rFonts w:ascii="Garamond" w:hAnsi="Garamond"/>
                          <w:sz w:val="22"/>
                          <w:szCs w:val="22"/>
                          <w:lang w:val="fr-FR"/>
                        </w:rPr>
                        <w:t>1960</w:t>
                      </w:r>
                      <w:r w:rsidR="00803842" w:rsidRPr="00170C87">
                        <w:rPr>
                          <w:rFonts w:ascii="Garamond" w:hAnsi="Garamond"/>
                          <w:sz w:val="22"/>
                          <w:szCs w:val="22"/>
                          <w:lang w:val="fr-FR"/>
                        </w:rPr>
                        <w:t xml:space="preserve"> à </w:t>
                      </w:r>
                      <w:r w:rsidRPr="00170C87">
                        <w:rPr>
                          <w:rFonts w:ascii="Garamond" w:hAnsi="Garamond"/>
                          <w:sz w:val="22"/>
                          <w:szCs w:val="22"/>
                          <w:lang w:val="fr-FR"/>
                        </w:rPr>
                        <w:t xml:space="preserve">1980, période du socialisme ou du « Tout État », </w:t>
                      </w:r>
                      <w:r w:rsidR="00803842" w:rsidRPr="00170C87">
                        <w:rPr>
                          <w:rFonts w:ascii="Garamond" w:hAnsi="Garamond"/>
                          <w:sz w:val="22"/>
                          <w:szCs w:val="22"/>
                          <w:lang w:val="fr-FR"/>
                        </w:rPr>
                        <w:t>d</w:t>
                      </w:r>
                      <w:r w:rsidR="00242277" w:rsidRPr="00170C87">
                        <w:rPr>
                          <w:rFonts w:ascii="Garamond" w:hAnsi="Garamond"/>
                          <w:sz w:val="22"/>
                          <w:szCs w:val="22"/>
                          <w:lang w:val="fr-FR"/>
                        </w:rPr>
                        <w:t>es subventions agricoles</w:t>
                      </w:r>
                      <w:r w:rsidR="00803842" w:rsidRPr="00170C87">
                        <w:rPr>
                          <w:rFonts w:ascii="Garamond" w:hAnsi="Garamond"/>
                          <w:sz w:val="22"/>
                          <w:szCs w:val="22"/>
                          <w:lang w:val="fr-FR"/>
                        </w:rPr>
                        <w:t xml:space="preserve"> peu contrôlées</w:t>
                      </w:r>
                      <w:r w:rsidR="00242277" w:rsidRPr="00170C87">
                        <w:rPr>
                          <w:rFonts w:ascii="Garamond" w:hAnsi="Garamond"/>
                          <w:sz w:val="22"/>
                          <w:szCs w:val="22"/>
                          <w:lang w:val="fr-FR"/>
                        </w:rPr>
                        <w:t xml:space="preserve"> </w:t>
                      </w:r>
                      <w:r w:rsidR="00EB29F3" w:rsidRPr="00170C87">
                        <w:rPr>
                          <w:rFonts w:ascii="Garamond" w:hAnsi="Garamond"/>
                          <w:sz w:val="22"/>
                          <w:szCs w:val="22"/>
                          <w:lang w:val="fr-FR"/>
                        </w:rPr>
                        <w:t>ont représenté</w:t>
                      </w:r>
                      <w:r w:rsidR="003D7C50" w:rsidRPr="00170C87">
                        <w:rPr>
                          <w:rFonts w:ascii="Garamond" w:hAnsi="Garamond"/>
                          <w:sz w:val="22"/>
                          <w:szCs w:val="22"/>
                          <w:lang w:val="fr-FR"/>
                        </w:rPr>
                        <w:t xml:space="preserve"> </w:t>
                      </w:r>
                      <w:r w:rsidR="00242277" w:rsidRPr="00170C87">
                        <w:rPr>
                          <w:rFonts w:ascii="Garamond" w:hAnsi="Garamond"/>
                          <w:sz w:val="22"/>
                          <w:szCs w:val="22"/>
                          <w:lang w:val="fr-FR"/>
                        </w:rPr>
                        <w:t>le principal mécanisme de financement de l’</w:t>
                      </w:r>
                      <w:r w:rsidR="00754354" w:rsidRPr="00170C87">
                        <w:rPr>
                          <w:rFonts w:ascii="Garamond" w:hAnsi="Garamond"/>
                          <w:sz w:val="22"/>
                          <w:szCs w:val="22"/>
                          <w:lang w:val="fr-FR"/>
                        </w:rPr>
                        <w:t>A</w:t>
                      </w:r>
                      <w:r w:rsidR="00242277" w:rsidRPr="00170C87">
                        <w:rPr>
                          <w:rFonts w:ascii="Garamond" w:hAnsi="Garamond"/>
                          <w:sz w:val="22"/>
                          <w:szCs w:val="22"/>
                          <w:lang w:val="fr-FR"/>
                        </w:rPr>
                        <w:t>griculture</w:t>
                      </w:r>
                      <w:r w:rsidRPr="00170C87">
                        <w:rPr>
                          <w:rFonts w:ascii="Garamond" w:hAnsi="Garamond"/>
                          <w:sz w:val="22"/>
                          <w:szCs w:val="22"/>
                          <w:lang w:val="fr-FR"/>
                        </w:rPr>
                        <w:t xml:space="preserve"> avec pour conséquence </w:t>
                      </w:r>
                      <w:r w:rsidR="007B641C" w:rsidRPr="00170C87">
                        <w:rPr>
                          <w:rFonts w:ascii="Garamond" w:hAnsi="Garamond"/>
                          <w:sz w:val="22"/>
                          <w:szCs w:val="22"/>
                          <w:lang w:val="fr-FR"/>
                        </w:rPr>
                        <w:t xml:space="preserve">un </w:t>
                      </w:r>
                      <w:r w:rsidRPr="00170C87">
                        <w:rPr>
                          <w:rFonts w:ascii="Garamond" w:hAnsi="Garamond"/>
                          <w:sz w:val="22"/>
                          <w:szCs w:val="22"/>
                          <w:lang w:val="fr-FR"/>
                        </w:rPr>
                        <w:t>surendettement d</w:t>
                      </w:r>
                      <w:r w:rsidR="00803842" w:rsidRPr="00170C87">
                        <w:rPr>
                          <w:rFonts w:ascii="Garamond" w:hAnsi="Garamond"/>
                          <w:sz w:val="22"/>
                          <w:szCs w:val="22"/>
                          <w:lang w:val="fr-FR"/>
                        </w:rPr>
                        <w:t>e l’Etat</w:t>
                      </w:r>
                      <w:r w:rsidR="007B641C" w:rsidRPr="00170C87">
                        <w:rPr>
                          <w:rFonts w:ascii="Garamond" w:hAnsi="Garamond"/>
                          <w:sz w:val="22"/>
                          <w:szCs w:val="22"/>
                          <w:lang w:val="fr-FR"/>
                        </w:rPr>
                        <w:t>.</w:t>
                      </w:r>
                      <w:r w:rsidR="00242277" w:rsidRPr="00170C87">
                        <w:rPr>
                          <w:rFonts w:ascii="Garamond" w:hAnsi="Garamond"/>
                          <w:sz w:val="22"/>
                          <w:szCs w:val="22"/>
                          <w:lang w:val="fr-FR"/>
                        </w:rPr>
                        <w:t xml:space="preserve"> </w:t>
                      </w:r>
                    </w:p>
                    <w:p w14:paraId="1E22E9D4" w14:textId="0449E8B3" w:rsidR="00DD5C2B" w:rsidRPr="00170C87" w:rsidRDefault="00803842" w:rsidP="000E0BEF">
                      <w:pPr>
                        <w:pStyle w:val="ListParagraph"/>
                        <w:numPr>
                          <w:ilvl w:val="0"/>
                          <w:numId w:val="8"/>
                        </w:numPr>
                        <w:ind w:left="360"/>
                        <w:jc w:val="both"/>
                        <w:rPr>
                          <w:rFonts w:ascii="Garamond" w:hAnsi="Garamond"/>
                          <w:sz w:val="22"/>
                          <w:szCs w:val="22"/>
                          <w:lang w:val="fr-FR"/>
                        </w:rPr>
                      </w:pPr>
                      <w:r w:rsidRPr="00170C87">
                        <w:rPr>
                          <w:rFonts w:ascii="Garamond" w:hAnsi="Garamond"/>
                          <w:sz w:val="22"/>
                          <w:szCs w:val="22"/>
                          <w:lang w:val="fr-FR"/>
                        </w:rPr>
                        <w:t xml:space="preserve">De </w:t>
                      </w:r>
                      <w:r w:rsidR="00BE1476" w:rsidRPr="00170C87">
                        <w:rPr>
                          <w:rFonts w:ascii="Garamond" w:hAnsi="Garamond"/>
                          <w:sz w:val="22"/>
                          <w:szCs w:val="22"/>
                          <w:lang w:val="fr-FR"/>
                        </w:rPr>
                        <w:t>1980</w:t>
                      </w:r>
                      <w:r w:rsidRPr="00170C87">
                        <w:rPr>
                          <w:rFonts w:ascii="Garamond" w:hAnsi="Garamond"/>
                          <w:sz w:val="22"/>
                          <w:szCs w:val="22"/>
                          <w:lang w:val="fr-FR"/>
                        </w:rPr>
                        <w:t xml:space="preserve"> à </w:t>
                      </w:r>
                      <w:r w:rsidR="00BE1476" w:rsidRPr="00170C87">
                        <w:rPr>
                          <w:rFonts w:ascii="Garamond" w:hAnsi="Garamond"/>
                          <w:sz w:val="22"/>
                          <w:szCs w:val="22"/>
                          <w:lang w:val="fr-FR"/>
                        </w:rPr>
                        <w:t xml:space="preserve">1990, </w:t>
                      </w:r>
                      <w:proofErr w:type="spellStart"/>
                      <w:r w:rsidR="00BE1476" w:rsidRPr="00170C87">
                        <w:rPr>
                          <w:rFonts w:ascii="Garamond" w:hAnsi="Garamond"/>
                          <w:sz w:val="22"/>
                          <w:szCs w:val="22"/>
                          <w:lang w:val="fr-FR"/>
                        </w:rPr>
                        <w:t>periode</w:t>
                      </w:r>
                      <w:proofErr w:type="spellEnd"/>
                      <w:r w:rsidR="00BE1476" w:rsidRPr="00170C87">
                        <w:rPr>
                          <w:rFonts w:ascii="Garamond" w:hAnsi="Garamond"/>
                          <w:sz w:val="22"/>
                          <w:szCs w:val="22"/>
                          <w:lang w:val="fr-FR"/>
                        </w:rPr>
                        <w:t xml:space="preserve"> de l’ajustement structurel, </w:t>
                      </w:r>
                      <w:r w:rsidR="007B641C" w:rsidRPr="00170C87">
                        <w:rPr>
                          <w:rFonts w:ascii="Garamond" w:hAnsi="Garamond"/>
                          <w:sz w:val="22"/>
                          <w:szCs w:val="22"/>
                          <w:lang w:val="fr-FR"/>
                        </w:rPr>
                        <w:t xml:space="preserve">les subventions agricoles ont été remises en cause et </w:t>
                      </w:r>
                      <w:r w:rsidR="00754354" w:rsidRPr="00170C87">
                        <w:rPr>
                          <w:rFonts w:ascii="Garamond" w:hAnsi="Garamond"/>
                          <w:sz w:val="22"/>
                          <w:szCs w:val="22"/>
                          <w:lang w:val="fr-FR"/>
                        </w:rPr>
                        <w:t xml:space="preserve">depuis lors, </w:t>
                      </w:r>
                      <w:r w:rsidR="00BE1476" w:rsidRPr="00170C87">
                        <w:rPr>
                          <w:rFonts w:ascii="Garamond" w:hAnsi="Garamond"/>
                          <w:sz w:val="22"/>
                          <w:szCs w:val="22"/>
                          <w:lang w:val="fr-FR"/>
                        </w:rPr>
                        <w:t>l</w:t>
                      </w:r>
                      <w:r w:rsidR="00242277" w:rsidRPr="00170C87">
                        <w:rPr>
                          <w:rFonts w:ascii="Garamond" w:hAnsi="Garamond"/>
                          <w:sz w:val="22"/>
                          <w:szCs w:val="22"/>
                          <w:lang w:val="fr-FR"/>
                        </w:rPr>
                        <w:t>’Éta</w:t>
                      </w:r>
                      <w:r w:rsidR="00754354" w:rsidRPr="00170C87">
                        <w:rPr>
                          <w:rFonts w:ascii="Garamond" w:hAnsi="Garamond"/>
                          <w:sz w:val="22"/>
                          <w:szCs w:val="22"/>
                          <w:lang w:val="fr-FR"/>
                        </w:rPr>
                        <w:t xml:space="preserve">t </w:t>
                      </w:r>
                      <w:r w:rsidR="00242277" w:rsidRPr="00170C87">
                        <w:rPr>
                          <w:rFonts w:ascii="Garamond" w:hAnsi="Garamond"/>
                          <w:sz w:val="22"/>
                          <w:szCs w:val="22"/>
                          <w:lang w:val="fr-FR"/>
                        </w:rPr>
                        <w:t xml:space="preserve">a commencé </w:t>
                      </w:r>
                      <w:r w:rsidR="00754354" w:rsidRPr="00170C87">
                        <w:rPr>
                          <w:rFonts w:ascii="Garamond" w:hAnsi="Garamond"/>
                          <w:sz w:val="22"/>
                          <w:szCs w:val="22"/>
                          <w:lang w:val="fr-FR"/>
                        </w:rPr>
                        <w:t xml:space="preserve">un </w:t>
                      </w:r>
                      <w:r w:rsidR="00242277" w:rsidRPr="00170C87">
                        <w:rPr>
                          <w:rFonts w:ascii="Garamond" w:hAnsi="Garamond"/>
                          <w:sz w:val="22"/>
                          <w:szCs w:val="22"/>
                          <w:lang w:val="fr-FR"/>
                        </w:rPr>
                        <w:t>retrait</w:t>
                      </w:r>
                      <w:r w:rsidR="00754354" w:rsidRPr="00170C87">
                        <w:rPr>
                          <w:rFonts w:ascii="Garamond" w:hAnsi="Garamond"/>
                          <w:sz w:val="22"/>
                          <w:szCs w:val="22"/>
                          <w:lang w:val="fr-FR"/>
                        </w:rPr>
                        <w:t xml:space="preserve"> progressif</w:t>
                      </w:r>
                      <w:r w:rsidR="00BE1476" w:rsidRPr="00170C87">
                        <w:rPr>
                          <w:rFonts w:ascii="Garamond" w:hAnsi="Garamond"/>
                          <w:sz w:val="22"/>
                          <w:szCs w:val="22"/>
                          <w:lang w:val="fr-FR"/>
                        </w:rPr>
                        <w:t xml:space="preserve">. </w:t>
                      </w:r>
                    </w:p>
                    <w:p w14:paraId="34734E5F" w14:textId="13393414" w:rsidR="0032141E" w:rsidRPr="00170C87" w:rsidRDefault="007B641C" w:rsidP="00EC6826">
                      <w:pPr>
                        <w:pStyle w:val="ListParagraph"/>
                        <w:numPr>
                          <w:ilvl w:val="0"/>
                          <w:numId w:val="6"/>
                        </w:numPr>
                        <w:autoSpaceDE w:val="0"/>
                        <w:autoSpaceDN w:val="0"/>
                        <w:adjustRightInd w:val="0"/>
                        <w:ind w:left="450"/>
                        <w:jc w:val="both"/>
                        <w:rPr>
                          <w:rFonts w:ascii="Garamond" w:hAnsi="Garamond"/>
                          <w:sz w:val="22"/>
                          <w:szCs w:val="22"/>
                          <w:lang w:val="fr-FR"/>
                        </w:rPr>
                      </w:pPr>
                      <w:r w:rsidRPr="00170C87">
                        <w:rPr>
                          <w:rFonts w:ascii="Garamond" w:hAnsi="Garamond"/>
                          <w:sz w:val="22"/>
                          <w:szCs w:val="22"/>
                          <w:lang w:val="fr-FR"/>
                        </w:rPr>
                        <w:t xml:space="preserve">De 1990 à 2005, </w:t>
                      </w:r>
                      <w:r w:rsidR="00803842" w:rsidRPr="00170C87">
                        <w:rPr>
                          <w:rFonts w:ascii="Garamond" w:hAnsi="Garamond"/>
                          <w:sz w:val="22"/>
                          <w:szCs w:val="22"/>
                          <w:lang w:val="fr-FR"/>
                        </w:rPr>
                        <w:t xml:space="preserve">dès les </w:t>
                      </w:r>
                      <w:r w:rsidRPr="00170C87">
                        <w:rPr>
                          <w:rFonts w:ascii="Garamond" w:hAnsi="Garamond"/>
                          <w:sz w:val="22"/>
                          <w:szCs w:val="22"/>
                          <w:lang w:val="fr-FR"/>
                        </w:rPr>
                        <w:t>premières</w:t>
                      </w:r>
                      <w:r w:rsidR="00803842" w:rsidRPr="00170C87">
                        <w:rPr>
                          <w:rFonts w:ascii="Garamond" w:hAnsi="Garamond"/>
                          <w:sz w:val="22"/>
                          <w:szCs w:val="22"/>
                          <w:lang w:val="fr-FR"/>
                        </w:rPr>
                        <w:t xml:space="preserve"> </w:t>
                      </w:r>
                      <w:r w:rsidRPr="00170C87">
                        <w:rPr>
                          <w:rFonts w:ascii="Garamond" w:hAnsi="Garamond"/>
                          <w:sz w:val="22"/>
                          <w:szCs w:val="22"/>
                          <w:lang w:val="fr-FR"/>
                        </w:rPr>
                        <w:t>années de libéralisation</w:t>
                      </w:r>
                      <w:r w:rsidR="00803842" w:rsidRPr="00170C87">
                        <w:rPr>
                          <w:rFonts w:ascii="Garamond" w:hAnsi="Garamond"/>
                          <w:sz w:val="22"/>
                          <w:szCs w:val="22"/>
                          <w:lang w:val="fr-FR"/>
                        </w:rPr>
                        <w:t xml:space="preserve"> de l’économie</w:t>
                      </w:r>
                      <w:r w:rsidRPr="00170C87">
                        <w:rPr>
                          <w:rFonts w:ascii="Garamond" w:hAnsi="Garamond"/>
                          <w:sz w:val="22"/>
                          <w:szCs w:val="22"/>
                          <w:lang w:val="fr-FR"/>
                        </w:rPr>
                        <w:t>, l</w:t>
                      </w:r>
                      <w:r w:rsidR="001A286B" w:rsidRPr="00170C87">
                        <w:rPr>
                          <w:rFonts w:ascii="Garamond" w:hAnsi="Garamond"/>
                          <w:sz w:val="22"/>
                          <w:szCs w:val="22"/>
                          <w:lang w:val="fr-FR"/>
                        </w:rPr>
                        <w:t xml:space="preserve">es subventions </w:t>
                      </w:r>
                      <w:r w:rsidRPr="00170C87">
                        <w:rPr>
                          <w:rFonts w:ascii="Garamond" w:hAnsi="Garamond"/>
                          <w:sz w:val="22"/>
                          <w:szCs w:val="22"/>
                          <w:lang w:val="fr-FR"/>
                        </w:rPr>
                        <w:t xml:space="preserve">agricoles </w:t>
                      </w:r>
                      <w:r w:rsidR="001A286B" w:rsidRPr="00170C87">
                        <w:rPr>
                          <w:rFonts w:ascii="Garamond" w:hAnsi="Garamond"/>
                          <w:sz w:val="22"/>
                          <w:szCs w:val="22"/>
                          <w:lang w:val="fr-FR"/>
                        </w:rPr>
                        <w:t>ont été supprimées pour la plupart des filières agricoles à l’exception de la filière coton</w:t>
                      </w:r>
                      <w:r w:rsidRPr="00170C87">
                        <w:rPr>
                          <w:rFonts w:ascii="Garamond" w:hAnsi="Garamond"/>
                          <w:sz w:val="22"/>
                          <w:szCs w:val="22"/>
                          <w:lang w:val="fr-FR"/>
                        </w:rPr>
                        <w:t>.</w:t>
                      </w:r>
                      <w:r w:rsidR="001A286B" w:rsidRPr="00170C87">
                        <w:rPr>
                          <w:rFonts w:ascii="Garamond" w:hAnsi="Garamond"/>
                          <w:sz w:val="22"/>
                          <w:szCs w:val="22"/>
                          <w:lang w:val="fr-FR"/>
                        </w:rPr>
                        <w:t xml:space="preserve"> </w:t>
                      </w:r>
                    </w:p>
                    <w:p w14:paraId="3C7135B2" w14:textId="352F7657" w:rsidR="00DD5C2B" w:rsidRPr="00170C87" w:rsidRDefault="00756008" w:rsidP="008C2D32">
                      <w:pPr>
                        <w:pStyle w:val="ListParagraph"/>
                        <w:numPr>
                          <w:ilvl w:val="0"/>
                          <w:numId w:val="6"/>
                        </w:numPr>
                        <w:autoSpaceDE w:val="0"/>
                        <w:autoSpaceDN w:val="0"/>
                        <w:adjustRightInd w:val="0"/>
                        <w:ind w:left="450"/>
                        <w:jc w:val="both"/>
                        <w:rPr>
                          <w:rFonts w:ascii="Garamond" w:hAnsi="Garamond"/>
                          <w:sz w:val="22"/>
                          <w:szCs w:val="22"/>
                          <w:lang w:val="fr-FR"/>
                        </w:rPr>
                      </w:pPr>
                      <w:r w:rsidRPr="00170C87">
                        <w:rPr>
                          <w:rFonts w:ascii="Garamond" w:hAnsi="Garamond"/>
                          <w:sz w:val="22"/>
                          <w:szCs w:val="22"/>
                          <w:lang w:val="fr-FR"/>
                        </w:rPr>
                        <w:t>De</w:t>
                      </w:r>
                      <w:r w:rsidR="007B641C" w:rsidRPr="00170C87">
                        <w:rPr>
                          <w:rFonts w:ascii="Garamond" w:hAnsi="Garamond"/>
                          <w:sz w:val="22"/>
                          <w:szCs w:val="22"/>
                          <w:lang w:val="fr-FR"/>
                        </w:rPr>
                        <w:t xml:space="preserve"> 2007</w:t>
                      </w:r>
                      <w:r w:rsidRPr="00170C87">
                        <w:rPr>
                          <w:rFonts w:ascii="Garamond" w:hAnsi="Garamond"/>
                          <w:sz w:val="22"/>
                          <w:szCs w:val="22"/>
                          <w:lang w:val="fr-FR"/>
                        </w:rPr>
                        <w:t xml:space="preserve"> à nos jours</w:t>
                      </w:r>
                      <w:r w:rsidR="007B641C" w:rsidRPr="00170C87">
                        <w:rPr>
                          <w:rFonts w:ascii="Garamond" w:hAnsi="Garamond"/>
                          <w:sz w:val="22"/>
                          <w:szCs w:val="22"/>
                          <w:lang w:val="fr-FR"/>
                        </w:rPr>
                        <w:t>, à la faveur de la crise alimentaire et nutritionnelle mondiale et la déclaration d’Abuja sur les engrais de 2006, l</w:t>
                      </w:r>
                      <w:r w:rsidR="00242277" w:rsidRPr="00170C87">
                        <w:rPr>
                          <w:rFonts w:ascii="Garamond" w:hAnsi="Garamond"/>
                          <w:sz w:val="22"/>
                          <w:szCs w:val="22"/>
                          <w:lang w:val="fr-FR"/>
                        </w:rPr>
                        <w:t>es politiques de subvention agricole ont été réhabilité</w:t>
                      </w:r>
                      <w:r w:rsidR="003D7C50" w:rsidRPr="00170C87">
                        <w:rPr>
                          <w:rFonts w:ascii="Garamond" w:hAnsi="Garamond"/>
                          <w:sz w:val="22"/>
                          <w:szCs w:val="22"/>
                          <w:lang w:val="fr-FR"/>
                        </w:rPr>
                        <w:t>e</w:t>
                      </w:r>
                      <w:r w:rsidR="00242277" w:rsidRPr="00170C87">
                        <w:rPr>
                          <w:rFonts w:ascii="Garamond" w:hAnsi="Garamond"/>
                          <w:sz w:val="22"/>
                          <w:szCs w:val="22"/>
                          <w:lang w:val="fr-FR"/>
                        </w:rPr>
                        <w:t>s</w:t>
                      </w:r>
                      <w:r w:rsidR="00754354" w:rsidRPr="00170C87">
                        <w:rPr>
                          <w:rFonts w:ascii="Garamond" w:hAnsi="Garamond"/>
                          <w:sz w:val="22"/>
                          <w:szCs w:val="22"/>
                          <w:lang w:val="fr-FR"/>
                        </w:rPr>
                        <w:t>,</w:t>
                      </w:r>
                      <w:r w:rsidR="00242277" w:rsidRPr="00170C87">
                        <w:rPr>
                          <w:rFonts w:ascii="Garamond" w:hAnsi="Garamond"/>
                          <w:sz w:val="22"/>
                          <w:szCs w:val="22"/>
                          <w:lang w:val="fr-FR"/>
                        </w:rPr>
                        <w:t xml:space="preserve"> </w:t>
                      </w:r>
                      <w:r w:rsidR="003D7C50" w:rsidRPr="00170C87">
                        <w:rPr>
                          <w:rFonts w:ascii="Garamond" w:hAnsi="Garamond"/>
                          <w:sz w:val="22"/>
                          <w:szCs w:val="22"/>
                          <w:lang w:val="fr-FR"/>
                        </w:rPr>
                        <w:t xml:space="preserve">puis </w:t>
                      </w:r>
                      <w:r w:rsidR="00242277" w:rsidRPr="00170C87">
                        <w:rPr>
                          <w:rFonts w:ascii="Garamond" w:hAnsi="Garamond"/>
                          <w:sz w:val="22"/>
                          <w:szCs w:val="22"/>
                          <w:lang w:val="fr-FR"/>
                        </w:rPr>
                        <w:t>remise</w:t>
                      </w:r>
                      <w:r w:rsidR="00954B7D" w:rsidRPr="00170C87">
                        <w:rPr>
                          <w:rFonts w:ascii="Garamond" w:hAnsi="Garamond"/>
                          <w:sz w:val="22"/>
                          <w:szCs w:val="22"/>
                          <w:lang w:val="fr-FR"/>
                        </w:rPr>
                        <w:t>s</w:t>
                      </w:r>
                      <w:r w:rsidR="00242277" w:rsidRPr="00170C87">
                        <w:rPr>
                          <w:rFonts w:ascii="Garamond" w:hAnsi="Garamond"/>
                          <w:sz w:val="22"/>
                          <w:szCs w:val="22"/>
                          <w:lang w:val="fr-FR"/>
                        </w:rPr>
                        <w:t xml:space="preserve"> en selle</w:t>
                      </w:r>
                      <w:r w:rsidR="007B641C" w:rsidRPr="00170C87">
                        <w:rPr>
                          <w:rFonts w:ascii="Garamond" w:hAnsi="Garamond"/>
                          <w:sz w:val="22"/>
                          <w:szCs w:val="22"/>
                          <w:lang w:val="fr-FR"/>
                        </w:rPr>
                        <w:t>.</w:t>
                      </w:r>
                      <w:r w:rsidR="00242277" w:rsidRPr="00170C87">
                        <w:rPr>
                          <w:rFonts w:ascii="Garamond" w:hAnsi="Garamond"/>
                          <w:sz w:val="22"/>
                          <w:szCs w:val="22"/>
                          <w:lang w:val="fr-FR"/>
                        </w:rPr>
                        <w:t xml:space="preserve"> </w:t>
                      </w:r>
                    </w:p>
                    <w:p w14:paraId="78DBB886" w14:textId="66B40131" w:rsidR="00492399" w:rsidRPr="00170C87" w:rsidRDefault="00213DE7" w:rsidP="008C2D32">
                      <w:pPr>
                        <w:pStyle w:val="ListParagraph"/>
                        <w:numPr>
                          <w:ilvl w:val="0"/>
                          <w:numId w:val="6"/>
                        </w:numPr>
                        <w:autoSpaceDE w:val="0"/>
                        <w:autoSpaceDN w:val="0"/>
                        <w:adjustRightInd w:val="0"/>
                        <w:ind w:left="450"/>
                        <w:jc w:val="both"/>
                        <w:rPr>
                          <w:rFonts w:ascii="Garamond" w:hAnsi="Garamond"/>
                          <w:sz w:val="22"/>
                          <w:szCs w:val="22"/>
                          <w:lang w:val="fr-FR"/>
                        </w:rPr>
                      </w:pPr>
                      <w:r w:rsidRPr="00170C87">
                        <w:rPr>
                          <w:rFonts w:ascii="Garamond" w:hAnsi="Garamond"/>
                          <w:sz w:val="22"/>
                          <w:szCs w:val="22"/>
                          <w:lang w:val="fr-FR"/>
                        </w:rPr>
                        <w:t>De nos jours, l</w:t>
                      </w:r>
                      <w:r w:rsidR="00A6315F" w:rsidRPr="00170C87">
                        <w:rPr>
                          <w:rFonts w:ascii="Garamond" w:hAnsi="Garamond"/>
                          <w:sz w:val="22"/>
                          <w:szCs w:val="22"/>
                          <w:lang w:val="fr-FR"/>
                        </w:rPr>
                        <w:t xml:space="preserve">es producteurs et les opérateurs économiques ont intégré </w:t>
                      </w:r>
                      <w:r w:rsidR="00A074F6" w:rsidRPr="00170C87">
                        <w:rPr>
                          <w:rFonts w:ascii="Garamond" w:hAnsi="Garamond"/>
                          <w:sz w:val="22"/>
                          <w:szCs w:val="22"/>
                          <w:lang w:val="fr-FR"/>
                        </w:rPr>
                        <w:t>l</w:t>
                      </w:r>
                      <w:r w:rsidR="00A6315F" w:rsidRPr="00170C87">
                        <w:rPr>
                          <w:rFonts w:ascii="Garamond" w:hAnsi="Garamond"/>
                          <w:sz w:val="22"/>
                          <w:szCs w:val="22"/>
                          <w:lang w:val="fr-FR"/>
                        </w:rPr>
                        <w:t>es subventions</w:t>
                      </w:r>
                      <w:r w:rsidRPr="00170C87">
                        <w:rPr>
                          <w:rFonts w:ascii="Garamond" w:hAnsi="Garamond"/>
                          <w:sz w:val="22"/>
                          <w:szCs w:val="22"/>
                          <w:lang w:val="fr-FR"/>
                        </w:rPr>
                        <w:t xml:space="preserve"> d’engrais</w:t>
                      </w:r>
                      <w:r w:rsidR="00A6315F" w:rsidRPr="00170C87">
                        <w:rPr>
                          <w:rFonts w:ascii="Garamond" w:hAnsi="Garamond"/>
                          <w:sz w:val="22"/>
                          <w:szCs w:val="22"/>
                          <w:lang w:val="fr-FR"/>
                        </w:rPr>
                        <w:t xml:space="preserve"> dans leur</w:t>
                      </w:r>
                      <w:r w:rsidR="005D568B" w:rsidRPr="00170C87">
                        <w:rPr>
                          <w:rFonts w:ascii="Garamond" w:hAnsi="Garamond"/>
                          <w:sz w:val="22"/>
                          <w:szCs w:val="22"/>
                          <w:lang w:val="fr-FR"/>
                        </w:rPr>
                        <w:t>s</w:t>
                      </w:r>
                      <w:r w:rsidR="00A6315F" w:rsidRPr="00170C87">
                        <w:rPr>
                          <w:rFonts w:ascii="Garamond" w:hAnsi="Garamond"/>
                          <w:sz w:val="22"/>
                          <w:szCs w:val="22"/>
                          <w:lang w:val="fr-FR"/>
                        </w:rPr>
                        <w:t xml:space="preserve"> stratégies de financement</w:t>
                      </w:r>
                      <w:r w:rsidR="00AD5253" w:rsidRPr="00170C87">
                        <w:rPr>
                          <w:rFonts w:ascii="Garamond" w:hAnsi="Garamond"/>
                          <w:sz w:val="22"/>
                          <w:szCs w:val="22"/>
                          <w:lang w:val="fr-FR"/>
                        </w:rPr>
                        <w:t xml:space="preserve"> et il </w:t>
                      </w:r>
                      <w:r w:rsidR="00A6315F" w:rsidRPr="00170C87">
                        <w:rPr>
                          <w:rFonts w:ascii="Garamond" w:hAnsi="Garamond"/>
                          <w:sz w:val="22"/>
                          <w:szCs w:val="22"/>
                          <w:lang w:val="fr-FR"/>
                        </w:rPr>
                        <w:t>sera de plus en plus difficile pour l’État d’en sortir.</w:t>
                      </w:r>
                    </w:p>
                  </w:txbxContent>
                </v:textbox>
                <w10:wrap type="square"/>
              </v:shape>
            </w:pict>
          </mc:Fallback>
        </mc:AlternateContent>
      </w:r>
    </w:p>
    <w:p w14:paraId="2727E3BD" w14:textId="77777777" w:rsidR="000B4CAC" w:rsidRPr="00170C87" w:rsidRDefault="00A44802" w:rsidP="00671C0E">
      <w:pPr>
        <w:autoSpaceDE w:val="0"/>
        <w:autoSpaceDN w:val="0"/>
        <w:adjustRightInd w:val="0"/>
        <w:spacing w:after="120"/>
        <w:rPr>
          <w:rFonts w:ascii="Garamond" w:hAnsi="Garamond" w:cs="Gill Sans"/>
          <w:b/>
          <w:color w:val="4799B5"/>
          <w:sz w:val="28"/>
          <w:szCs w:val="28"/>
          <w:lang w:val="fr-FR"/>
        </w:rPr>
      </w:pPr>
      <w:r w:rsidRPr="00170C87">
        <w:rPr>
          <w:rFonts w:ascii="Garamond" w:hAnsi="Garamond" w:cs="Gill Sans"/>
          <w:b/>
          <w:color w:val="4799B5"/>
          <w:sz w:val="28"/>
          <w:szCs w:val="28"/>
          <w:lang w:val="fr-FR"/>
        </w:rPr>
        <w:t>Contexte</w:t>
      </w:r>
      <w:r w:rsidR="0003295D" w:rsidRPr="00170C87">
        <w:rPr>
          <w:rFonts w:ascii="Garamond" w:hAnsi="Garamond" w:cs="Gill Sans"/>
          <w:b/>
          <w:color w:val="4799B5"/>
          <w:sz w:val="28"/>
          <w:szCs w:val="28"/>
          <w:lang w:val="fr-FR"/>
        </w:rPr>
        <w:t xml:space="preserve"> </w:t>
      </w:r>
    </w:p>
    <w:p w14:paraId="4A385C23" w14:textId="45DB17DC" w:rsidR="007238E3" w:rsidRPr="00170C87" w:rsidRDefault="007238E3" w:rsidP="00170C87">
      <w:pPr>
        <w:pStyle w:val="MMNotes"/>
        <w:spacing w:after="120" w:line="240" w:lineRule="auto"/>
        <w:jc w:val="both"/>
        <w:rPr>
          <w:rFonts w:ascii="Garamond" w:hAnsi="Garamond"/>
          <w:color w:val="000000"/>
          <w:sz w:val="22"/>
          <w:szCs w:val="22"/>
          <w:lang w:val="fr-FR"/>
        </w:rPr>
      </w:pPr>
      <w:r w:rsidRPr="00170C87">
        <w:rPr>
          <w:rFonts w:ascii="Garamond" w:hAnsi="Garamond"/>
          <w:color w:val="000000"/>
          <w:sz w:val="22"/>
          <w:szCs w:val="22"/>
          <w:lang w:val="fr-FR"/>
        </w:rPr>
        <w:t>Le Mali est un pays agro-</w:t>
      </w:r>
      <w:proofErr w:type="spellStart"/>
      <w:r w:rsidRPr="00170C87">
        <w:rPr>
          <w:rFonts w:ascii="Garamond" w:hAnsi="Garamond"/>
          <w:color w:val="000000"/>
          <w:sz w:val="22"/>
          <w:szCs w:val="22"/>
          <w:lang w:val="fr-FR"/>
        </w:rPr>
        <w:t>sylvo</w:t>
      </w:r>
      <w:proofErr w:type="spellEnd"/>
      <w:r w:rsidRPr="00170C87">
        <w:rPr>
          <w:rFonts w:ascii="Garamond" w:hAnsi="Garamond"/>
          <w:color w:val="000000"/>
          <w:sz w:val="22"/>
          <w:szCs w:val="22"/>
          <w:lang w:val="fr-FR"/>
        </w:rPr>
        <w:t>-pastoral avec plus de 70% de sa population vivant du secteur primaire</w:t>
      </w:r>
      <w:r w:rsidR="00D17447" w:rsidRPr="00170C87">
        <w:rPr>
          <w:rFonts w:ascii="Garamond" w:hAnsi="Garamond"/>
          <w:color w:val="000000"/>
          <w:sz w:val="22"/>
          <w:szCs w:val="22"/>
          <w:lang w:val="fr-FR"/>
        </w:rPr>
        <w:t xml:space="preserve">. L’Agriculture </w:t>
      </w:r>
      <w:r w:rsidRPr="00170C87">
        <w:rPr>
          <w:rFonts w:ascii="Garamond" w:hAnsi="Garamond"/>
          <w:color w:val="000000"/>
          <w:sz w:val="22"/>
          <w:szCs w:val="22"/>
          <w:lang w:val="fr-FR"/>
        </w:rPr>
        <w:t xml:space="preserve">occupe une part importante du produit intérieur brut et fournit suivant les années près de 20% des recettes d’exportation. Au cours des vingt dernières années, la contribution du secteur </w:t>
      </w:r>
      <w:r w:rsidR="001535C0" w:rsidRPr="00170C87">
        <w:rPr>
          <w:rFonts w:ascii="Garamond" w:hAnsi="Garamond"/>
          <w:color w:val="000000"/>
          <w:sz w:val="22"/>
          <w:szCs w:val="22"/>
          <w:lang w:val="fr-FR"/>
        </w:rPr>
        <w:t>A</w:t>
      </w:r>
      <w:r w:rsidRPr="00170C87">
        <w:rPr>
          <w:rFonts w:ascii="Garamond" w:hAnsi="Garamond"/>
          <w:color w:val="000000"/>
          <w:sz w:val="22"/>
          <w:szCs w:val="22"/>
          <w:lang w:val="fr-FR"/>
        </w:rPr>
        <w:t>gricole au PIB est évaluée à près de 34% (</w:t>
      </w:r>
      <w:proofErr w:type="spellStart"/>
      <w:r w:rsidRPr="00170C87">
        <w:rPr>
          <w:rFonts w:ascii="Garamond" w:hAnsi="Garamond"/>
          <w:color w:val="000000"/>
          <w:sz w:val="22"/>
          <w:szCs w:val="22"/>
          <w:lang w:val="fr-FR"/>
        </w:rPr>
        <w:t>Instat</w:t>
      </w:r>
      <w:proofErr w:type="spellEnd"/>
      <w:r w:rsidRPr="00170C87">
        <w:rPr>
          <w:rFonts w:ascii="Garamond" w:hAnsi="Garamond"/>
          <w:color w:val="000000"/>
          <w:sz w:val="22"/>
          <w:szCs w:val="22"/>
          <w:lang w:val="fr-FR"/>
        </w:rPr>
        <w:t xml:space="preserve">, 2018). La part de la production végétale </w:t>
      </w:r>
      <w:r w:rsidR="00D17447" w:rsidRPr="00170C87">
        <w:rPr>
          <w:rFonts w:ascii="Garamond" w:hAnsi="Garamond"/>
          <w:color w:val="000000"/>
          <w:sz w:val="22"/>
          <w:szCs w:val="22"/>
          <w:lang w:val="fr-FR"/>
        </w:rPr>
        <w:t>est</w:t>
      </w:r>
      <w:r w:rsidRPr="00170C87">
        <w:rPr>
          <w:rFonts w:ascii="Garamond" w:hAnsi="Garamond"/>
          <w:color w:val="000000"/>
          <w:sz w:val="22"/>
          <w:szCs w:val="22"/>
          <w:lang w:val="fr-FR"/>
        </w:rPr>
        <w:t xml:space="preserve"> de 45% contre 39 et 8% pour l’élevage et la pêche. L’agriculture est pratiquée majoritairement par de petites exploitations familiales</w:t>
      </w:r>
      <w:r w:rsidR="0065470A" w:rsidRPr="00170C87">
        <w:rPr>
          <w:rFonts w:ascii="Garamond" w:hAnsi="Garamond"/>
          <w:color w:val="000000"/>
          <w:sz w:val="22"/>
          <w:szCs w:val="22"/>
          <w:lang w:val="fr-FR"/>
        </w:rPr>
        <w:t xml:space="preserve"> qui cultivent </w:t>
      </w:r>
      <w:r w:rsidR="00DC0062" w:rsidRPr="00170C87">
        <w:rPr>
          <w:rFonts w:ascii="Garamond" w:hAnsi="Garamond"/>
          <w:color w:val="000000"/>
          <w:sz w:val="22"/>
          <w:szCs w:val="22"/>
          <w:lang w:val="fr-FR"/>
        </w:rPr>
        <w:t xml:space="preserve">principalement </w:t>
      </w:r>
      <w:r w:rsidR="00E80397" w:rsidRPr="00170C87">
        <w:rPr>
          <w:rFonts w:ascii="Garamond" w:hAnsi="Garamond"/>
          <w:color w:val="000000"/>
          <w:sz w:val="22"/>
          <w:szCs w:val="22"/>
          <w:lang w:val="fr-FR"/>
        </w:rPr>
        <w:t>le mil/sorgho, le maïs</w:t>
      </w:r>
      <w:r w:rsidR="009374E5" w:rsidRPr="00170C87">
        <w:rPr>
          <w:rFonts w:ascii="Garamond" w:hAnsi="Garamond"/>
          <w:color w:val="000000"/>
          <w:sz w:val="22"/>
          <w:szCs w:val="22"/>
          <w:lang w:val="fr-FR"/>
        </w:rPr>
        <w:t xml:space="preserve">, </w:t>
      </w:r>
      <w:r w:rsidR="00E80397" w:rsidRPr="00170C87">
        <w:rPr>
          <w:rFonts w:ascii="Garamond" w:hAnsi="Garamond"/>
          <w:color w:val="000000"/>
          <w:sz w:val="22"/>
          <w:szCs w:val="22"/>
          <w:lang w:val="fr-FR"/>
        </w:rPr>
        <w:t>le riz</w:t>
      </w:r>
      <w:r w:rsidR="009374E5" w:rsidRPr="00170C87">
        <w:rPr>
          <w:rFonts w:ascii="Garamond" w:hAnsi="Garamond"/>
          <w:color w:val="000000"/>
          <w:sz w:val="22"/>
          <w:szCs w:val="22"/>
          <w:lang w:val="fr-FR"/>
        </w:rPr>
        <w:t xml:space="preserve"> et le coton</w:t>
      </w:r>
      <w:r w:rsidR="00143A15" w:rsidRPr="00170C87">
        <w:rPr>
          <w:rFonts w:ascii="Garamond" w:hAnsi="Garamond"/>
          <w:color w:val="000000"/>
          <w:sz w:val="22"/>
          <w:szCs w:val="22"/>
          <w:lang w:val="fr-FR"/>
        </w:rPr>
        <w:t>.</w:t>
      </w:r>
    </w:p>
    <w:p w14:paraId="2AE3B020" w14:textId="4E277E50" w:rsidR="007238E3" w:rsidRPr="00170C87" w:rsidRDefault="007238E3" w:rsidP="00170C87">
      <w:pPr>
        <w:pStyle w:val="MMNotes"/>
        <w:spacing w:line="240" w:lineRule="auto"/>
        <w:jc w:val="both"/>
        <w:rPr>
          <w:rFonts w:ascii="Garamond" w:hAnsi="Garamond"/>
          <w:color w:val="000000"/>
          <w:sz w:val="22"/>
          <w:szCs w:val="22"/>
          <w:lang w:val="fr-FR"/>
        </w:rPr>
      </w:pPr>
      <w:r w:rsidRPr="00170C87">
        <w:rPr>
          <w:rFonts w:ascii="Garamond" w:hAnsi="Garamond"/>
          <w:color w:val="000000"/>
          <w:sz w:val="22"/>
          <w:szCs w:val="22"/>
          <w:lang w:val="fr-FR"/>
        </w:rPr>
        <w:t>Depuis l’indépendance, les différentes politiques et stratégies de développement ont mis un accent particulier sur le développement du secteur agricole. Celles-ci ont été déclinées d’abord dans un contexte d’une économie socialiste avec des plans quinquennaux de développement permettant de subventionner l’agriculture, notamment les engrais à travers des Opérations dites de Développement Rural (</w:t>
      </w:r>
      <w:proofErr w:type="spellStart"/>
      <w:r w:rsidRPr="00170C87">
        <w:rPr>
          <w:rFonts w:ascii="Garamond" w:hAnsi="Garamond"/>
          <w:color w:val="000000"/>
          <w:sz w:val="22"/>
          <w:szCs w:val="22"/>
          <w:lang w:val="fr-FR"/>
        </w:rPr>
        <w:t>ODR</w:t>
      </w:r>
      <w:proofErr w:type="spellEnd"/>
      <w:r w:rsidRPr="00170C87">
        <w:rPr>
          <w:rFonts w:ascii="Garamond" w:hAnsi="Garamond"/>
          <w:color w:val="000000"/>
          <w:sz w:val="22"/>
          <w:szCs w:val="22"/>
          <w:lang w:val="fr-FR"/>
        </w:rPr>
        <w:t>). Ensuite, dans un contexte de libéralisation et de désengagement de l’État des secteurs productifs qui a d’abord découragé les subventions agricoles avant de s’accommoder avec leu</w:t>
      </w:r>
      <w:r w:rsidR="0065470A" w:rsidRPr="00170C87">
        <w:rPr>
          <w:rFonts w:ascii="Garamond" w:hAnsi="Garamond"/>
          <w:color w:val="000000"/>
          <w:sz w:val="22"/>
          <w:szCs w:val="22"/>
          <w:lang w:val="fr-FR"/>
        </w:rPr>
        <w:t>r usage et leur</w:t>
      </w:r>
      <w:r w:rsidRPr="00170C87">
        <w:rPr>
          <w:rFonts w:ascii="Garamond" w:hAnsi="Garamond"/>
          <w:color w:val="000000"/>
          <w:sz w:val="22"/>
          <w:szCs w:val="22"/>
          <w:lang w:val="fr-FR"/>
        </w:rPr>
        <w:t xml:space="preserve"> institutionnalisation comme instrument de politique agricole. </w:t>
      </w:r>
    </w:p>
    <w:p w14:paraId="0907CF91" w14:textId="77777777" w:rsidR="000234D2" w:rsidRPr="00170C87" w:rsidRDefault="00200A58" w:rsidP="00170C87">
      <w:pPr>
        <w:spacing w:after="120"/>
        <w:jc w:val="both"/>
        <w:rPr>
          <w:rStyle w:val="BookTitle"/>
          <w:rFonts w:ascii="Garamond" w:hAnsi="Garamond"/>
          <w:b w:val="0"/>
          <w:i w:val="0"/>
          <w:sz w:val="22"/>
          <w:szCs w:val="22"/>
          <w:lang w:val="fr-FR"/>
        </w:rPr>
      </w:pPr>
      <w:r w:rsidRPr="00170C87">
        <w:rPr>
          <w:rStyle w:val="BookTitle"/>
          <w:rFonts w:ascii="Garamond" w:hAnsi="Garamond"/>
          <w:b w:val="0"/>
          <w:i w:val="0"/>
          <w:sz w:val="22"/>
          <w:szCs w:val="22"/>
          <w:lang w:val="fr-FR"/>
        </w:rPr>
        <w:t>L</w:t>
      </w:r>
      <w:r w:rsidR="00D17447" w:rsidRPr="00170C87">
        <w:rPr>
          <w:rStyle w:val="BookTitle"/>
          <w:rFonts w:ascii="Garamond" w:hAnsi="Garamond"/>
          <w:b w:val="0"/>
          <w:i w:val="0"/>
          <w:sz w:val="22"/>
          <w:szCs w:val="22"/>
          <w:lang w:val="fr-FR"/>
        </w:rPr>
        <w:t>e</w:t>
      </w:r>
      <w:r w:rsidRPr="00170C87">
        <w:rPr>
          <w:rStyle w:val="BookTitle"/>
          <w:rFonts w:ascii="Garamond" w:hAnsi="Garamond"/>
          <w:b w:val="0"/>
          <w:i w:val="0"/>
          <w:sz w:val="22"/>
          <w:szCs w:val="22"/>
          <w:lang w:val="fr-FR"/>
        </w:rPr>
        <w:t xml:space="preserve"> présent</w:t>
      </w:r>
      <w:r w:rsidR="00D17447" w:rsidRPr="00170C87">
        <w:rPr>
          <w:rStyle w:val="BookTitle"/>
          <w:rFonts w:ascii="Garamond" w:hAnsi="Garamond"/>
          <w:b w:val="0"/>
          <w:i w:val="0"/>
          <w:sz w:val="22"/>
          <w:szCs w:val="22"/>
          <w:lang w:val="fr-FR"/>
        </w:rPr>
        <w:t xml:space="preserve"> travail </w:t>
      </w:r>
      <w:r w:rsidRPr="00170C87">
        <w:rPr>
          <w:rStyle w:val="BookTitle"/>
          <w:rFonts w:ascii="Garamond" w:hAnsi="Garamond"/>
          <w:b w:val="0"/>
          <w:i w:val="0"/>
          <w:sz w:val="22"/>
          <w:szCs w:val="22"/>
          <w:lang w:val="fr-FR"/>
        </w:rPr>
        <w:t xml:space="preserve">avait pour but de retracer les principaux repères historiques en matière de subvention Agricole au Mali afin d'approfondir la réflexion sur leurs origines. Il fait l’état des lieux </w:t>
      </w:r>
      <w:r w:rsidR="00C05B52" w:rsidRPr="00170C87">
        <w:rPr>
          <w:rStyle w:val="BookTitle"/>
          <w:rFonts w:ascii="Garamond" w:hAnsi="Garamond"/>
          <w:b w:val="0"/>
          <w:i w:val="0"/>
          <w:sz w:val="22"/>
          <w:szCs w:val="22"/>
          <w:lang w:val="fr-FR"/>
        </w:rPr>
        <w:t>d</w:t>
      </w:r>
      <w:r w:rsidRPr="00170C87">
        <w:rPr>
          <w:rStyle w:val="BookTitle"/>
          <w:rFonts w:ascii="Garamond" w:hAnsi="Garamond"/>
          <w:b w:val="0"/>
          <w:i w:val="0"/>
          <w:sz w:val="22"/>
          <w:szCs w:val="22"/>
          <w:lang w:val="fr-FR"/>
        </w:rPr>
        <w:t xml:space="preserve">es grandes dates historiques qui ont influencé l’usage des subventions d’engrais, identifie les programmes mis en œuvre </w:t>
      </w:r>
      <w:r w:rsidR="00C05B52" w:rsidRPr="00170C87">
        <w:rPr>
          <w:rStyle w:val="BookTitle"/>
          <w:rFonts w:ascii="Garamond" w:hAnsi="Garamond"/>
          <w:b w:val="0"/>
          <w:i w:val="0"/>
          <w:sz w:val="22"/>
          <w:szCs w:val="22"/>
          <w:lang w:val="fr-FR"/>
        </w:rPr>
        <w:t>en vue</w:t>
      </w:r>
      <w:r w:rsidRPr="00170C87">
        <w:rPr>
          <w:rStyle w:val="BookTitle"/>
          <w:rFonts w:ascii="Garamond" w:hAnsi="Garamond"/>
          <w:b w:val="0"/>
          <w:i w:val="0"/>
          <w:sz w:val="22"/>
          <w:szCs w:val="22"/>
          <w:lang w:val="fr-FR"/>
        </w:rPr>
        <w:t xml:space="preserve"> de capitaliser les enseignements et les leçons des expériences passées permettant d’améliorer les pratiques actuelles.</w:t>
      </w:r>
    </w:p>
    <w:p w14:paraId="74EBA009" w14:textId="77777777" w:rsidR="00170C87" w:rsidRDefault="00170C87" w:rsidP="005908B2">
      <w:pPr>
        <w:spacing w:after="120" w:line="276" w:lineRule="auto"/>
        <w:jc w:val="both"/>
        <w:rPr>
          <w:rStyle w:val="BookTitle"/>
          <w:rFonts w:ascii="Garamond" w:hAnsi="Garamond"/>
          <w:b w:val="0"/>
          <w:i w:val="0"/>
          <w:sz w:val="22"/>
          <w:szCs w:val="22"/>
          <w:lang w:val="fr-FR"/>
        </w:rPr>
        <w:sectPr w:rsidR="00170C87" w:rsidSect="003E64D9">
          <w:headerReference w:type="default" r:id="rId14"/>
          <w:footerReference w:type="default" r:id="rId15"/>
          <w:headerReference w:type="first" r:id="rId16"/>
          <w:footerReference w:type="first" r:id="rId17"/>
          <w:endnotePr>
            <w:numFmt w:val="decimal"/>
          </w:endnotePr>
          <w:type w:val="continuous"/>
          <w:pgSz w:w="12240" w:h="15840"/>
          <w:pgMar w:top="1170" w:right="810" w:bottom="810" w:left="810" w:header="720" w:footer="0" w:gutter="0"/>
          <w:cols w:num="2" w:space="720"/>
          <w:docGrid w:linePitch="360"/>
        </w:sectPr>
      </w:pPr>
    </w:p>
    <w:p w14:paraId="3AA3DB10" w14:textId="2AEBB07F" w:rsidR="00200A58" w:rsidRPr="00170C87" w:rsidRDefault="00200A58" w:rsidP="00170C87">
      <w:pPr>
        <w:spacing w:after="120" w:line="276" w:lineRule="auto"/>
        <w:jc w:val="both"/>
        <w:rPr>
          <w:rFonts w:ascii="Garamond" w:hAnsi="Garamond" w:cs="Gill Sans"/>
          <w:b/>
          <w:color w:val="4799B5"/>
          <w:sz w:val="28"/>
          <w:szCs w:val="28"/>
          <w:lang w:val="fr-FR"/>
        </w:rPr>
      </w:pPr>
      <w:r w:rsidRPr="000234D2">
        <w:rPr>
          <w:rStyle w:val="BookTitle"/>
          <w:rFonts w:ascii="Garamond" w:hAnsi="Garamond"/>
          <w:b w:val="0"/>
          <w:i w:val="0"/>
          <w:sz w:val="22"/>
          <w:szCs w:val="22"/>
          <w:lang w:val="fr-FR"/>
        </w:rPr>
        <w:t xml:space="preserve"> </w:t>
      </w:r>
      <w:r w:rsidRPr="00170C87">
        <w:rPr>
          <w:rFonts w:ascii="Garamond" w:hAnsi="Garamond" w:cs="Gill Sans"/>
          <w:b/>
          <w:color w:val="4799B5"/>
          <w:sz w:val="28"/>
          <w:szCs w:val="28"/>
          <w:lang w:val="fr-FR"/>
        </w:rPr>
        <w:t>Méthod</w:t>
      </w:r>
      <w:r w:rsidR="000935B1" w:rsidRPr="00170C87">
        <w:rPr>
          <w:rFonts w:ascii="Garamond" w:hAnsi="Garamond" w:cs="Gill Sans"/>
          <w:b/>
          <w:color w:val="4799B5"/>
          <w:sz w:val="28"/>
          <w:szCs w:val="28"/>
          <w:lang w:val="fr-FR"/>
        </w:rPr>
        <w:t>e</w:t>
      </w:r>
    </w:p>
    <w:p w14:paraId="7F8578BB" w14:textId="0E117DB2" w:rsidR="00EB29F3" w:rsidRPr="00170C87" w:rsidRDefault="00CF1B49" w:rsidP="00170C87">
      <w:pPr>
        <w:spacing w:after="120"/>
        <w:jc w:val="both"/>
        <w:rPr>
          <w:rFonts w:ascii="Garamond" w:hAnsi="Garamond"/>
          <w:bCs/>
          <w:iCs/>
          <w:color w:val="000000"/>
          <w:sz w:val="22"/>
          <w:szCs w:val="22"/>
        </w:rPr>
      </w:pPr>
      <w:r w:rsidRPr="00170C87">
        <w:rPr>
          <w:rStyle w:val="BookTitle"/>
          <w:rFonts w:ascii="Garamond" w:hAnsi="Garamond"/>
          <w:b w:val="0"/>
          <w:i w:val="0"/>
          <w:sz w:val="22"/>
          <w:szCs w:val="22"/>
          <w:lang w:val="fr-FR"/>
        </w:rPr>
        <w:t>C</w:t>
      </w:r>
      <w:r w:rsidRPr="00170C87">
        <w:rPr>
          <w:rFonts w:ascii="Garamond" w:hAnsi="Garamond"/>
          <w:bCs/>
          <w:iCs/>
          <w:color w:val="000000"/>
          <w:sz w:val="22"/>
          <w:szCs w:val="22"/>
        </w:rPr>
        <w:t xml:space="preserve">ette recherche </w:t>
      </w:r>
      <w:r w:rsidR="00200A58" w:rsidRPr="00170C87">
        <w:rPr>
          <w:rFonts w:ascii="Garamond" w:hAnsi="Garamond"/>
          <w:bCs/>
          <w:iCs/>
          <w:color w:val="000000"/>
          <w:sz w:val="22"/>
          <w:szCs w:val="22"/>
        </w:rPr>
        <w:t>est faite sur la base d’une revue de littérature, l’exploitation de données secondaires disponibles et des entretiens avec des personnes clés qui on</w:t>
      </w:r>
      <w:r w:rsidR="00A272B5" w:rsidRPr="00170C87">
        <w:rPr>
          <w:rFonts w:ascii="Garamond" w:hAnsi="Garamond"/>
          <w:bCs/>
          <w:iCs/>
          <w:color w:val="000000"/>
          <w:sz w:val="22"/>
          <w:szCs w:val="22"/>
        </w:rPr>
        <w:t>t</w:t>
      </w:r>
      <w:r w:rsidR="00200A58" w:rsidRPr="00170C87">
        <w:rPr>
          <w:rFonts w:ascii="Garamond" w:hAnsi="Garamond"/>
          <w:bCs/>
          <w:iCs/>
          <w:color w:val="000000"/>
          <w:sz w:val="22"/>
          <w:szCs w:val="22"/>
        </w:rPr>
        <w:t xml:space="preserve"> travaillé sur l’utilisation et la distribution des engrais au Mali.</w:t>
      </w:r>
    </w:p>
    <w:p w14:paraId="4A42521A" w14:textId="0D29C7EC" w:rsidR="00200A58" w:rsidRPr="00170C87" w:rsidRDefault="00200A58" w:rsidP="00170C87">
      <w:pPr>
        <w:autoSpaceDE w:val="0"/>
        <w:autoSpaceDN w:val="0"/>
        <w:adjustRightInd w:val="0"/>
        <w:spacing w:after="120"/>
        <w:rPr>
          <w:rFonts w:ascii="Garamond" w:hAnsi="Garamond" w:cs="Gill Sans"/>
          <w:b/>
          <w:color w:val="4799B5"/>
          <w:sz w:val="28"/>
          <w:szCs w:val="28"/>
          <w:lang w:val="fr-FR"/>
        </w:rPr>
      </w:pPr>
      <w:r w:rsidRPr="00170C87">
        <w:rPr>
          <w:rFonts w:ascii="Garamond" w:hAnsi="Garamond" w:cs="Gill Sans"/>
          <w:b/>
          <w:color w:val="4799B5"/>
          <w:sz w:val="28"/>
          <w:szCs w:val="28"/>
          <w:lang w:val="fr-FR"/>
        </w:rPr>
        <w:t xml:space="preserve">Résultats </w:t>
      </w:r>
    </w:p>
    <w:p w14:paraId="18B1D4C7" w14:textId="5ED71361" w:rsidR="00200A58" w:rsidRPr="00170C87" w:rsidRDefault="00200A58" w:rsidP="00170C87">
      <w:pPr>
        <w:spacing w:before="120" w:after="120"/>
        <w:jc w:val="both"/>
        <w:rPr>
          <w:rStyle w:val="BookTitle"/>
          <w:rFonts w:ascii="Garamond" w:hAnsi="Garamond"/>
          <w:b w:val="0"/>
          <w:i w:val="0"/>
          <w:sz w:val="22"/>
          <w:szCs w:val="22"/>
          <w:lang w:val="fr-FR"/>
        </w:rPr>
      </w:pPr>
      <w:r w:rsidRPr="00170C87">
        <w:rPr>
          <w:rStyle w:val="BookTitle"/>
          <w:rFonts w:ascii="Garamond" w:hAnsi="Garamond"/>
          <w:b w:val="0"/>
          <w:i w:val="0"/>
          <w:sz w:val="22"/>
          <w:szCs w:val="22"/>
          <w:lang w:val="fr-FR"/>
        </w:rPr>
        <w:t>Les résultats montre</w:t>
      </w:r>
      <w:r w:rsidR="00C05B52" w:rsidRPr="00170C87">
        <w:rPr>
          <w:rStyle w:val="BookTitle"/>
          <w:rFonts w:ascii="Garamond" w:hAnsi="Garamond"/>
          <w:b w:val="0"/>
          <w:i w:val="0"/>
          <w:sz w:val="22"/>
          <w:szCs w:val="22"/>
          <w:lang w:val="fr-FR"/>
        </w:rPr>
        <w:t>nt</w:t>
      </w:r>
      <w:r w:rsidRPr="00170C87">
        <w:rPr>
          <w:rStyle w:val="BookTitle"/>
          <w:rFonts w:ascii="Garamond" w:hAnsi="Garamond"/>
          <w:b w:val="0"/>
          <w:i w:val="0"/>
          <w:sz w:val="22"/>
          <w:szCs w:val="22"/>
          <w:lang w:val="fr-FR"/>
        </w:rPr>
        <w:t xml:space="preserve"> que la subvention des engrais a toujours été une pratique intégrante des stratégies de développement agricole des Gouvernements successifs de la République du Mali de 1960 à 2019. Quel que soit le système économique (socialiste ou libéral) adopté et </w:t>
      </w:r>
      <w:r w:rsidRPr="00170C87">
        <w:rPr>
          <w:rStyle w:val="BookTitle"/>
          <w:rFonts w:ascii="Garamond" w:hAnsi="Garamond"/>
          <w:b w:val="0"/>
          <w:i w:val="0"/>
          <w:sz w:val="22"/>
          <w:szCs w:val="22"/>
          <w:lang w:val="fr-FR"/>
        </w:rPr>
        <w:lastRenderedPageBreak/>
        <w:t>les vicissitudes de l’histoire, la pratique de la subvention des engrais n’a jamais disparu des stratégies de financement de l’Agriculture au Mali.</w:t>
      </w:r>
    </w:p>
    <w:p w14:paraId="320671F7" w14:textId="77777777" w:rsidR="00C05B52" w:rsidRPr="00170C87" w:rsidRDefault="00200A58" w:rsidP="00170C87">
      <w:pPr>
        <w:spacing w:after="120"/>
        <w:jc w:val="both"/>
        <w:rPr>
          <w:rStyle w:val="BookTitle"/>
          <w:rFonts w:ascii="Garamond" w:hAnsi="Garamond"/>
          <w:b w:val="0"/>
          <w:i w:val="0"/>
          <w:sz w:val="22"/>
          <w:szCs w:val="22"/>
          <w:lang w:val="fr-FR"/>
        </w:rPr>
      </w:pPr>
      <w:r w:rsidRPr="00170C87">
        <w:rPr>
          <w:rStyle w:val="BookTitle"/>
          <w:rFonts w:ascii="Garamond" w:hAnsi="Garamond"/>
          <w:b w:val="0"/>
          <w:i w:val="0"/>
          <w:sz w:val="22"/>
          <w:szCs w:val="22"/>
          <w:lang w:val="fr-FR"/>
        </w:rPr>
        <w:t xml:space="preserve">D’une manière générale, la subvention des engrais s’est d’ailleurs perpétuée avec le temps, bradant parfois, les contraintes imposées par les bailleurs de fonds. </w:t>
      </w:r>
    </w:p>
    <w:p w14:paraId="267D6E33" w14:textId="41995CF5" w:rsidR="00200A58" w:rsidRPr="00170C87" w:rsidRDefault="00200A58" w:rsidP="00170C87">
      <w:pPr>
        <w:spacing w:after="120"/>
        <w:jc w:val="both"/>
        <w:rPr>
          <w:rStyle w:val="BookTitle"/>
          <w:rFonts w:ascii="Garamond" w:hAnsi="Garamond"/>
          <w:b w:val="0"/>
          <w:i w:val="0"/>
          <w:sz w:val="22"/>
          <w:szCs w:val="22"/>
          <w:lang w:val="fr-FR"/>
        </w:rPr>
      </w:pPr>
      <w:r w:rsidRPr="00170C87">
        <w:rPr>
          <w:rStyle w:val="BookTitle"/>
          <w:rFonts w:ascii="Garamond" w:hAnsi="Garamond"/>
          <w:b w:val="0"/>
          <w:i w:val="0"/>
          <w:sz w:val="22"/>
          <w:szCs w:val="22"/>
          <w:lang w:val="fr-FR"/>
        </w:rPr>
        <w:t>Par ailleurs, elle trouve sa justification dans la nécessité, d’une part, d’encourager l’usage des engrais pour augmenter la production et la productivité agricole en vue d’assurer la sécurité alimentaire et d’autre part</w:t>
      </w:r>
      <w:r w:rsidR="00EE1D31" w:rsidRPr="00170C87">
        <w:rPr>
          <w:rStyle w:val="BookTitle"/>
          <w:rFonts w:ascii="Garamond" w:hAnsi="Garamond"/>
          <w:b w:val="0"/>
          <w:i w:val="0"/>
          <w:sz w:val="22"/>
          <w:szCs w:val="22"/>
          <w:lang w:val="fr-FR"/>
        </w:rPr>
        <w:t>,</w:t>
      </w:r>
      <w:r w:rsidRPr="00170C87">
        <w:rPr>
          <w:rStyle w:val="BookTitle"/>
          <w:rFonts w:ascii="Garamond" w:hAnsi="Garamond"/>
          <w:b w:val="0"/>
          <w:i w:val="0"/>
          <w:sz w:val="22"/>
          <w:szCs w:val="22"/>
          <w:lang w:val="fr-FR"/>
        </w:rPr>
        <w:t xml:space="preserve"> </w:t>
      </w:r>
      <w:r w:rsidR="00D17447" w:rsidRPr="00170C87">
        <w:rPr>
          <w:rStyle w:val="BookTitle"/>
          <w:rFonts w:ascii="Garamond" w:hAnsi="Garamond"/>
          <w:b w:val="0"/>
          <w:i w:val="0"/>
          <w:sz w:val="22"/>
          <w:szCs w:val="22"/>
          <w:lang w:val="fr-FR"/>
        </w:rPr>
        <w:t xml:space="preserve">de </w:t>
      </w:r>
      <w:r w:rsidRPr="00170C87">
        <w:rPr>
          <w:rStyle w:val="BookTitle"/>
          <w:rFonts w:ascii="Garamond" w:hAnsi="Garamond"/>
          <w:b w:val="0"/>
          <w:i w:val="0"/>
          <w:sz w:val="22"/>
          <w:szCs w:val="22"/>
          <w:lang w:val="fr-FR"/>
        </w:rPr>
        <w:t>protéger les agriculteurs de la volatilité des prix des engrais</w:t>
      </w:r>
      <w:r w:rsidR="00C05B52" w:rsidRPr="00170C87">
        <w:rPr>
          <w:rStyle w:val="BookTitle"/>
          <w:rFonts w:ascii="Garamond" w:hAnsi="Garamond"/>
          <w:b w:val="0"/>
          <w:i w:val="0"/>
          <w:sz w:val="22"/>
          <w:szCs w:val="22"/>
          <w:lang w:val="fr-FR"/>
        </w:rPr>
        <w:t>,</w:t>
      </w:r>
      <w:r w:rsidRPr="00170C87">
        <w:rPr>
          <w:rStyle w:val="BookTitle"/>
          <w:rFonts w:ascii="Garamond" w:hAnsi="Garamond"/>
          <w:b w:val="0"/>
          <w:i w:val="0"/>
          <w:sz w:val="22"/>
          <w:szCs w:val="22"/>
          <w:lang w:val="fr-FR"/>
        </w:rPr>
        <w:t xml:space="preserve"> des effets de la sécheresse et des crises alimentaires</w:t>
      </w:r>
      <w:r w:rsidR="00C05B52" w:rsidRPr="00170C87">
        <w:rPr>
          <w:rStyle w:val="BookTitle"/>
          <w:rFonts w:ascii="Garamond" w:hAnsi="Garamond"/>
          <w:b w:val="0"/>
          <w:i w:val="0"/>
          <w:sz w:val="22"/>
          <w:szCs w:val="22"/>
          <w:lang w:val="fr-FR"/>
        </w:rPr>
        <w:t xml:space="preserve"> et nutritionnelles</w:t>
      </w:r>
    </w:p>
    <w:p w14:paraId="4FB6B92B" w14:textId="4410E0FA" w:rsidR="005245D9" w:rsidRPr="00170C87" w:rsidRDefault="00880D57" w:rsidP="00170C87">
      <w:pPr>
        <w:spacing w:after="120"/>
        <w:jc w:val="both"/>
        <w:rPr>
          <w:rFonts w:ascii="Garamond" w:hAnsi="Garamond"/>
          <w:color w:val="000000"/>
          <w:sz w:val="22"/>
          <w:szCs w:val="22"/>
          <w:lang w:val="fr-FR"/>
        </w:rPr>
      </w:pPr>
      <w:r w:rsidRPr="00170C87">
        <w:rPr>
          <w:rFonts w:ascii="Garamond" w:hAnsi="Garamond"/>
          <w:color w:val="000000"/>
          <w:sz w:val="22"/>
          <w:szCs w:val="22"/>
          <w:lang w:val="fr-FR"/>
        </w:rPr>
        <w:t>De 1960</w:t>
      </w:r>
      <w:r w:rsidR="00D41C70" w:rsidRPr="00170C87">
        <w:rPr>
          <w:rFonts w:ascii="Garamond" w:hAnsi="Garamond"/>
          <w:color w:val="000000"/>
          <w:sz w:val="22"/>
          <w:szCs w:val="22"/>
          <w:lang w:val="fr-FR"/>
        </w:rPr>
        <w:t xml:space="preserve"> </w:t>
      </w:r>
      <w:r w:rsidRPr="00170C87">
        <w:rPr>
          <w:rFonts w:ascii="Garamond" w:hAnsi="Garamond"/>
          <w:color w:val="000000"/>
          <w:sz w:val="22"/>
          <w:szCs w:val="22"/>
          <w:lang w:val="fr-FR"/>
        </w:rPr>
        <w:t>à nos jours, le Mali a connu deux systèmes économiques, notamment le système socialiste et le système libéral, que l’on peut subdiviser en quatre grandes périodes</w:t>
      </w:r>
      <w:r w:rsidR="00B63B49" w:rsidRPr="00170C87">
        <w:rPr>
          <w:rFonts w:ascii="Garamond" w:hAnsi="Garamond"/>
          <w:color w:val="000000"/>
          <w:sz w:val="22"/>
          <w:szCs w:val="22"/>
          <w:lang w:val="fr-FR"/>
        </w:rPr>
        <w:t xml:space="preserve"> en fonction des évolutions constatées en matière de subvention agricole</w:t>
      </w:r>
      <w:r w:rsidR="00A819FB" w:rsidRPr="00170C87">
        <w:rPr>
          <w:rFonts w:ascii="Garamond" w:hAnsi="Garamond"/>
          <w:color w:val="000000"/>
          <w:sz w:val="22"/>
          <w:szCs w:val="22"/>
          <w:lang w:val="fr-FR"/>
        </w:rPr>
        <w:t xml:space="preserve"> (</w:t>
      </w:r>
      <w:proofErr w:type="spellStart"/>
      <w:r w:rsidR="00A819FB" w:rsidRPr="00170C87">
        <w:rPr>
          <w:rFonts w:ascii="Garamond" w:hAnsi="Garamond"/>
          <w:color w:val="000000"/>
          <w:sz w:val="22"/>
          <w:szCs w:val="22"/>
          <w:lang w:val="fr-FR"/>
        </w:rPr>
        <w:t>Schema</w:t>
      </w:r>
      <w:proofErr w:type="spellEnd"/>
      <w:r w:rsidR="00A819FB" w:rsidRPr="00170C87">
        <w:rPr>
          <w:rFonts w:ascii="Garamond" w:hAnsi="Garamond"/>
          <w:color w:val="000000"/>
          <w:sz w:val="22"/>
          <w:szCs w:val="22"/>
          <w:lang w:val="fr-FR"/>
        </w:rPr>
        <w:t>)</w:t>
      </w:r>
      <w:r w:rsidRPr="00170C87">
        <w:rPr>
          <w:rFonts w:ascii="Garamond" w:hAnsi="Garamond"/>
          <w:color w:val="000000"/>
          <w:sz w:val="22"/>
          <w:szCs w:val="22"/>
          <w:lang w:val="fr-FR"/>
        </w:rPr>
        <w:t xml:space="preserve"> : </w:t>
      </w:r>
    </w:p>
    <w:p w14:paraId="174F2A69" w14:textId="22D7967F" w:rsidR="000234D2" w:rsidRDefault="00EF0CD5" w:rsidP="00CD5012">
      <w:pPr>
        <w:spacing w:after="120" w:line="276" w:lineRule="auto"/>
        <w:jc w:val="both"/>
        <w:rPr>
          <w:rFonts w:ascii="Garamond" w:hAnsi="Garamond"/>
          <w:color w:val="000000"/>
          <w:sz w:val="22"/>
          <w:szCs w:val="22"/>
          <w:lang w:val="fr-FR"/>
        </w:rPr>
      </w:pPr>
      <w:r w:rsidRPr="00EF0CD5">
        <w:rPr>
          <w:rFonts w:ascii="Garamond" w:hAnsi="Garamond"/>
          <w:noProof/>
          <w:color w:val="000000"/>
          <w:sz w:val="22"/>
          <w:szCs w:val="22"/>
        </w:rPr>
        <w:drawing>
          <wp:inline distT="0" distB="0" distL="0" distR="0" wp14:anchorId="43B55ABB" wp14:editId="7A2A52E5">
            <wp:extent cx="3143250" cy="2103755"/>
            <wp:effectExtent l="0" t="0" r="0" b="0"/>
            <wp:docPr id="11" name="Picture 11" descr="Schema : Repère historique des programmes de subvention agricole au Mali de 1960 à 2019" title="Schema : Repère historique des programmes de subvention agricole au Mali de 1960 à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43250" cy="2103755"/>
                    </a:xfrm>
                    <a:prstGeom prst="rect">
                      <a:avLst/>
                    </a:prstGeom>
                  </pic:spPr>
                </pic:pic>
              </a:graphicData>
            </a:graphic>
          </wp:inline>
        </w:drawing>
      </w:r>
    </w:p>
    <w:p w14:paraId="7C71239B" w14:textId="389DDF8F" w:rsidR="00A819FB" w:rsidRPr="00A819FB" w:rsidRDefault="00A819FB" w:rsidP="00A819FB">
      <w:pPr>
        <w:spacing w:after="120"/>
        <w:jc w:val="both"/>
        <w:rPr>
          <w:rFonts w:ascii="Garamond" w:hAnsi="Garamond"/>
          <w:b/>
          <w:color w:val="000000"/>
          <w:sz w:val="20"/>
          <w:szCs w:val="20"/>
          <w:lang w:val="fr-FR"/>
        </w:rPr>
      </w:pPr>
      <w:proofErr w:type="spellStart"/>
      <w:r>
        <w:rPr>
          <w:rFonts w:ascii="Garamond" w:hAnsi="Garamond"/>
          <w:b/>
          <w:color w:val="000000"/>
          <w:sz w:val="20"/>
          <w:szCs w:val="20"/>
          <w:lang w:val="fr-FR"/>
        </w:rPr>
        <w:t>Schema</w:t>
      </w:r>
      <w:proofErr w:type="spellEnd"/>
      <w:r>
        <w:rPr>
          <w:rFonts w:ascii="Garamond" w:hAnsi="Garamond"/>
          <w:b/>
          <w:color w:val="000000"/>
          <w:sz w:val="20"/>
          <w:szCs w:val="20"/>
          <w:lang w:val="fr-FR"/>
        </w:rPr>
        <w:t> : Repère historique des p</w:t>
      </w:r>
      <w:r w:rsidRPr="00A819FB">
        <w:rPr>
          <w:rFonts w:ascii="Garamond" w:hAnsi="Garamond"/>
          <w:b/>
          <w:color w:val="000000"/>
          <w:sz w:val="20"/>
          <w:szCs w:val="20"/>
          <w:lang w:val="fr-FR"/>
        </w:rPr>
        <w:t xml:space="preserve">rogrammes de subvention agricole au </w:t>
      </w:r>
      <w:r>
        <w:rPr>
          <w:rFonts w:ascii="Garamond" w:hAnsi="Garamond"/>
          <w:b/>
          <w:color w:val="000000"/>
          <w:sz w:val="20"/>
          <w:szCs w:val="20"/>
          <w:lang w:val="fr-FR"/>
        </w:rPr>
        <w:t>M</w:t>
      </w:r>
      <w:r w:rsidRPr="00A819FB">
        <w:rPr>
          <w:rFonts w:ascii="Garamond" w:hAnsi="Garamond"/>
          <w:b/>
          <w:color w:val="000000"/>
          <w:sz w:val="20"/>
          <w:szCs w:val="20"/>
          <w:lang w:val="fr-FR"/>
        </w:rPr>
        <w:t>ali de 1960 à 2019</w:t>
      </w:r>
    </w:p>
    <w:p w14:paraId="47762AD1" w14:textId="55300375" w:rsidR="00152D6B" w:rsidRPr="000234D2" w:rsidRDefault="00152D6B" w:rsidP="008033F2">
      <w:pPr>
        <w:pStyle w:val="ListParagraph"/>
        <w:numPr>
          <w:ilvl w:val="0"/>
          <w:numId w:val="17"/>
        </w:numPr>
        <w:spacing w:line="276" w:lineRule="auto"/>
        <w:ind w:left="90" w:hanging="180"/>
        <w:rPr>
          <w:rFonts w:ascii="Garamond" w:hAnsi="Garamond"/>
          <w:b/>
          <w:color w:val="000000"/>
          <w:sz w:val="22"/>
          <w:szCs w:val="22"/>
          <w:lang w:val="fr-FR"/>
        </w:rPr>
      </w:pPr>
      <w:r w:rsidRPr="000234D2">
        <w:rPr>
          <w:rFonts w:ascii="Garamond" w:hAnsi="Garamond"/>
          <w:b/>
          <w:color w:val="000000"/>
          <w:sz w:val="22"/>
          <w:szCs w:val="22"/>
          <w:lang w:val="fr-FR"/>
        </w:rPr>
        <w:t>L</w:t>
      </w:r>
      <w:r w:rsidR="00880D57" w:rsidRPr="000234D2">
        <w:rPr>
          <w:rFonts w:ascii="Garamond" w:hAnsi="Garamond"/>
          <w:b/>
          <w:color w:val="000000"/>
          <w:sz w:val="22"/>
          <w:szCs w:val="22"/>
          <w:lang w:val="fr-FR"/>
        </w:rPr>
        <w:t xml:space="preserve">a </w:t>
      </w:r>
      <w:r w:rsidRPr="000234D2">
        <w:rPr>
          <w:rFonts w:ascii="Garamond" w:hAnsi="Garamond"/>
          <w:b/>
          <w:color w:val="000000"/>
          <w:sz w:val="22"/>
          <w:szCs w:val="22"/>
          <w:lang w:val="fr-FR"/>
        </w:rPr>
        <w:t>p</w:t>
      </w:r>
      <w:r w:rsidR="00880D57" w:rsidRPr="000234D2">
        <w:rPr>
          <w:rFonts w:ascii="Garamond" w:hAnsi="Garamond"/>
          <w:b/>
          <w:color w:val="000000"/>
          <w:sz w:val="22"/>
          <w:szCs w:val="22"/>
          <w:lang w:val="fr-FR"/>
        </w:rPr>
        <w:t xml:space="preserve">ériode du </w:t>
      </w:r>
      <w:r w:rsidRPr="000234D2">
        <w:rPr>
          <w:rFonts w:ascii="Garamond" w:hAnsi="Garamond"/>
          <w:b/>
          <w:color w:val="000000"/>
          <w:sz w:val="22"/>
          <w:szCs w:val="22"/>
          <w:lang w:val="fr-FR"/>
        </w:rPr>
        <w:t>T</w:t>
      </w:r>
      <w:r w:rsidR="00880D57" w:rsidRPr="000234D2">
        <w:rPr>
          <w:rFonts w:ascii="Garamond" w:hAnsi="Garamond"/>
          <w:b/>
          <w:color w:val="000000"/>
          <w:sz w:val="22"/>
          <w:szCs w:val="22"/>
          <w:lang w:val="fr-FR"/>
        </w:rPr>
        <w:t xml:space="preserve">out État </w:t>
      </w:r>
      <w:r w:rsidR="00566CD2" w:rsidRPr="000234D2">
        <w:rPr>
          <w:rFonts w:ascii="Garamond" w:hAnsi="Garamond"/>
          <w:b/>
          <w:color w:val="000000"/>
          <w:sz w:val="22"/>
          <w:szCs w:val="22"/>
          <w:lang w:val="fr-FR"/>
        </w:rPr>
        <w:t xml:space="preserve">(1960-1980) : une </w:t>
      </w:r>
      <w:r w:rsidR="00880D57" w:rsidRPr="000234D2">
        <w:rPr>
          <w:rFonts w:ascii="Garamond" w:hAnsi="Garamond"/>
          <w:b/>
          <w:color w:val="000000"/>
          <w:sz w:val="22"/>
          <w:szCs w:val="22"/>
          <w:lang w:val="fr-FR"/>
        </w:rPr>
        <w:t>économie administrée et fortement subventionnée</w:t>
      </w:r>
      <w:r w:rsidR="00566CD2" w:rsidRPr="000234D2">
        <w:rPr>
          <w:rFonts w:ascii="Garamond" w:hAnsi="Garamond"/>
          <w:b/>
          <w:color w:val="000000"/>
          <w:sz w:val="22"/>
          <w:szCs w:val="22"/>
          <w:lang w:val="fr-FR"/>
        </w:rPr>
        <w:t xml:space="preserve"> </w:t>
      </w:r>
    </w:p>
    <w:p w14:paraId="57909EF9" w14:textId="4E46F780" w:rsidR="00880D57" w:rsidRPr="000234D2" w:rsidRDefault="008C6FFC" w:rsidP="00152D6B">
      <w:pPr>
        <w:autoSpaceDE w:val="0"/>
        <w:autoSpaceDN w:val="0"/>
        <w:adjustRightInd w:val="0"/>
        <w:jc w:val="both"/>
        <w:rPr>
          <w:rStyle w:val="BookTitle"/>
          <w:rFonts w:ascii="Garamond" w:hAnsi="Garamond"/>
          <w:b w:val="0"/>
          <w:i w:val="0"/>
          <w:sz w:val="22"/>
          <w:szCs w:val="22"/>
          <w:lang w:val="fr-FR"/>
        </w:rPr>
      </w:pPr>
      <w:r w:rsidRPr="000234D2">
        <w:rPr>
          <w:rStyle w:val="BookTitle"/>
          <w:rFonts w:ascii="Garamond" w:hAnsi="Garamond"/>
          <w:b w:val="0"/>
          <w:i w:val="0"/>
          <w:sz w:val="22"/>
          <w:szCs w:val="22"/>
          <w:lang w:val="fr-FR"/>
        </w:rPr>
        <w:t>A la faveur du système économique socialiste en vigueur, de fortes subventions d’engrais peu contrôlées étaient allouées à des Opérations de Développement Rural (</w:t>
      </w:r>
      <w:proofErr w:type="spellStart"/>
      <w:r w:rsidRPr="000234D2">
        <w:rPr>
          <w:rStyle w:val="BookTitle"/>
          <w:rFonts w:ascii="Garamond" w:hAnsi="Garamond"/>
          <w:b w:val="0"/>
          <w:i w:val="0"/>
          <w:sz w:val="22"/>
          <w:szCs w:val="22"/>
          <w:lang w:val="fr-FR"/>
        </w:rPr>
        <w:t>ODR</w:t>
      </w:r>
      <w:proofErr w:type="spellEnd"/>
      <w:r w:rsidRPr="000234D2">
        <w:rPr>
          <w:rStyle w:val="BookTitle"/>
          <w:rFonts w:ascii="Garamond" w:hAnsi="Garamond"/>
          <w:b w:val="0"/>
          <w:i w:val="0"/>
          <w:sz w:val="22"/>
          <w:szCs w:val="22"/>
          <w:lang w:val="fr-FR"/>
        </w:rPr>
        <w:t>)</w:t>
      </w:r>
      <w:r w:rsidR="00DE6999" w:rsidRPr="000234D2">
        <w:rPr>
          <w:rStyle w:val="BookTitle"/>
          <w:rFonts w:ascii="Garamond" w:hAnsi="Garamond"/>
          <w:b w:val="0"/>
          <w:i w:val="0"/>
          <w:sz w:val="22"/>
          <w:szCs w:val="22"/>
          <w:lang w:val="fr-FR"/>
        </w:rPr>
        <w:t xml:space="preserve"> </w:t>
      </w:r>
      <w:r w:rsidR="00DE6999" w:rsidRPr="00414648">
        <w:rPr>
          <w:rStyle w:val="BookTitle"/>
          <w:rFonts w:ascii="Garamond" w:hAnsi="Garamond"/>
          <w:b w:val="0"/>
          <w:i w:val="0"/>
          <w:sz w:val="22"/>
          <w:szCs w:val="22"/>
          <w:lang w:val="fr-FR"/>
        </w:rPr>
        <w:t>mal gérées et qui ont été progressivement fermées ou restructurées. La faillite de ces opérations a engendré des créances en souffrance à des niveaux insoutenables</w:t>
      </w:r>
      <w:r w:rsidR="00DE6999" w:rsidRPr="000234D2">
        <w:rPr>
          <w:rStyle w:val="BookTitle"/>
          <w:rFonts w:ascii="Garamond" w:hAnsi="Garamond"/>
          <w:b w:val="0"/>
          <w:i w:val="0"/>
          <w:sz w:val="22"/>
          <w:szCs w:val="22"/>
          <w:lang w:val="fr-FR"/>
        </w:rPr>
        <w:t xml:space="preserve"> </w:t>
      </w:r>
      <w:r w:rsidRPr="000234D2">
        <w:rPr>
          <w:rStyle w:val="BookTitle"/>
          <w:rFonts w:ascii="Garamond" w:hAnsi="Garamond"/>
          <w:b w:val="0"/>
          <w:i w:val="0"/>
          <w:sz w:val="22"/>
          <w:szCs w:val="22"/>
          <w:lang w:val="fr-FR"/>
        </w:rPr>
        <w:t>pour l’État sans un impact réel sur les conditions de vie des populations.</w:t>
      </w:r>
    </w:p>
    <w:p w14:paraId="740D17B9" w14:textId="3553FFCE" w:rsidR="00EA5736" w:rsidRPr="000234D2" w:rsidRDefault="00EA5736" w:rsidP="00152D6B">
      <w:pPr>
        <w:autoSpaceDE w:val="0"/>
        <w:autoSpaceDN w:val="0"/>
        <w:adjustRightInd w:val="0"/>
        <w:jc w:val="both"/>
        <w:rPr>
          <w:rStyle w:val="BookTitle"/>
          <w:rFonts w:ascii="Garamond" w:hAnsi="Garamond"/>
          <w:b w:val="0"/>
          <w:i w:val="0"/>
          <w:sz w:val="22"/>
          <w:szCs w:val="22"/>
          <w:lang w:val="fr-FR"/>
        </w:rPr>
      </w:pPr>
    </w:p>
    <w:p w14:paraId="4D1ACADF" w14:textId="67F9FB90" w:rsidR="008C6FFC" w:rsidRPr="000234D2" w:rsidRDefault="00EA5736" w:rsidP="00170C87">
      <w:pPr>
        <w:autoSpaceDE w:val="0"/>
        <w:autoSpaceDN w:val="0"/>
        <w:adjustRightInd w:val="0"/>
        <w:spacing w:after="120"/>
        <w:jc w:val="both"/>
        <w:rPr>
          <w:rFonts w:ascii="Garamond" w:hAnsi="Garamond"/>
          <w:bCs/>
          <w:iCs/>
          <w:spacing w:val="5"/>
          <w:sz w:val="22"/>
          <w:szCs w:val="22"/>
          <w:lang w:val="fr-FR"/>
        </w:rPr>
      </w:pPr>
      <w:r w:rsidRPr="000234D2">
        <w:rPr>
          <w:rStyle w:val="BookTitle"/>
          <w:rFonts w:ascii="Garamond" w:hAnsi="Garamond"/>
          <w:b w:val="0"/>
          <w:i w:val="0"/>
          <w:sz w:val="22"/>
          <w:szCs w:val="22"/>
          <w:lang w:val="fr-FR"/>
        </w:rPr>
        <w:t>Entre 1976-1977, selon (Humphrey,</w:t>
      </w:r>
      <w:r w:rsidR="006C2E36" w:rsidRPr="000234D2">
        <w:rPr>
          <w:rStyle w:val="BookTitle"/>
          <w:rFonts w:ascii="Garamond" w:hAnsi="Garamond"/>
          <w:b w:val="0"/>
          <w:i w:val="0"/>
          <w:sz w:val="22"/>
          <w:szCs w:val="22"/>
          <w:lang w:val="fr-FR"/>
        </w:rPr>
        <w:t xml:space="preserve"> </w:t>
      </w:r>
      <w:r w:rsidRPr="000234D2">
        <w:rPr>
          <w:rStyle w:val="BookTitle"/>
          <w:rFonts w:ascii="Garamond" w:hAnsi="Garamond"/>
          <w:b w:val="0"/>
          <w:i w:val="0"/>
          <w:sz w:val="22"/>
          <w:szCs w:val="22"/>
          <w:lang w:val="fr-FR"/>
        </w:rPr>
        <w:t xml:space="preserve">1986) cité par </w:t>
      </w:r>
      <w:proofErr w:type="spellStart"/>
      <w:r w:rsidRPr="000234D2">
        <w:rPr>
          <w:rStyle w:val="BookTitle"/>
          <w:rFonts w:ascii="Garamond" w:hAnsi="Garamond"/>
          <w:b w:val="0"/>
          <w:i w:val="0"/>
          <w:sz w:val="22"/>
          <w:szCs w:val="22"/>
          <w:lang w:val="fr-FR"/>
        </w:rPr>
        <w:t>Holinger</w:t>
      </w:r>
      <w:proofErr w:type="spellEnd"/>
      <w:r w:rsidRPr="000234D2">
        <w:rPr>
          <w:rStyle w:val="BookTitle"/>
          <w:rFonts w:ascii="Garamond" w:hAnsi="Garamond"/>
          <w:b w:val="0"/>
          <w:i w:val="0"/>
          <w:sz w:val="22"/>
          <w:szCs w:val="22"/>
          <w:lang w:val="fr-FR"/>
        </w:rPr>
        <w:t xml:space="preserve"> et </w:t>
      </w:r>
      <w:proofErr w:type="spellStart"/>
      <w:r w:rsidRPr="000234D2">
        <w:rPr>
          <w:rStyle w:val="BookTitle"/>
          <w:rFonts w:ascii="Garamond" w:hAnsi="Garamond"/>
          <w:b w:val="0"/>
          <w:i w:val="0"/>
          <w:sz w:val="22"/>
          <w:szCs w:val="22"/>
          <w:lang w:val="fr-FR"/>
        </w:rPr>
        <w:t>Staaz</w:t>
      </w:r>
      <w:proofErr w:type="spellEnd"/>
      <w:r w:rsidRPr="000234D2">
        <w:rPr>
          <w:rStyle w:val="BookTitle"/>
          <w:rFonts w:ascii="Garamond" w:hAnsi="Garamond"/>
          <w:b w:val="0"/>
          <w:i w:val="0"/>
          <w:sz w:val="22"/>
          <w:szCs w:val="22"/>
          <w:lang w:val="fr-FR"/>
        </w:rPr>
        <w:t>,</w:t>
      </w:r>
      <w:r w:rsidR="006C2E36" w:rsidRPr="000234D2">
        <w:rPr>
          <w:rStyle w:val="BookTitle"/>
          <w:rFonts w:ascii="Garamond" w:hAnsi="Garamond"/>
          <w:b w:val="0"/>
          <w:i w:val="0"/>
          <w:sz w:val="22"/>
          <w:szCs w:val="22"/>
          <w:lang w:val="fr-FR"/>
        </w:rPr>
        <w:t xml:space="preserve"> </w:t>
      </w:r>
      <w:r w:rsidRPr="000234D2">
        <w:rPr>
          <w:rStyle w:val="BookTitle"/>
          <w:rFonts w:ascii="Garamond" w:hAnsi="Garamond"/>
          <w:b w:val="0"/>
          <w:i w:val="0"/>
          <w:sz w:val="22"/>
          <w:szCs w:val="22"/>
          <w:lang w:val="fr-FR"/>
        </w:rPr>
        <w:t xml:space="preserve">2015, p.302, le déficit cumulé de l’Office de commercialisation des céréales du Mali atteignait 80 millions </w:t>
      </w:r>
      <w:r w:rsidR="00912B76" w:rsidRPr="000234D2">
        <w:rPr>
          <w:rStyle w:val="BookTitle"/>
          <w:rFonts w:ascii="Garamond" w:hAnsi="Garamond"/>
          <w:b w:val="0"/>
          <w:i w:val="0"/>
          <w:sz w:val="22"/>
          <w:szCs w:val="22"/>
          <w:lang w:val="fr-FR"/>
        </w:rPr>
        <w:t>$</w:t>
      </w:r>
      <w:r w:rsidRPr="000234D2">
        <w:rPr>
          <w:rStyle w:val="BookTitle"/>
          <w:rFonts w:ascii="Garamond" w:hAnsi="Garamond"/>
          <w:b w:val="0"/>
          <w:i w:val="0"/>
          <w:sz w:val="22"/>
          <w:szCs w:val="22"/>
          <w:lang w:val="fr-FR"/>
        </w:rPr>
        <w:t xml:space="preserve">EU (soit environ </w:t>
      </w:r>
      <w:r w:rsidR="00912B76" w:rsidRPr="000234D2">
        <w:rPr>
          <w:rStyle w:val="BookTitle"/>
          <w:rFonts w:ascii="Garamond" w:hAnsi="Garamond"/>
          <w:b w:val="0"/>
          <w:i w:val="0"/>
          <w:sz w:val="22"/>
          <w:szCs w:val="22"/>
          <w:lang w:val="fr-FR"/>
        </w:rPr>
        <w:t>4</w:t>
      </w:r>
      <w:r w:rsidRPr="000234D2">
        <w:rPr>
          <w:rStyle w:val="BookTitle"/>
          <w:rFonts w:ascii="Garamond" w:hAnsi="Garamond"/>
          <w:b w:val="0"/>
          <w:i w:val="0"/>
          <w:sz w:val="22"/>
          <w:szCs w:val="22"/>
          <w:lang w:val="fr-FR"/>
        </w:rPr>
        <w:t>0 milliards FC</w:t>
      </w:r>
      <w:r w:rsidR="00DE6999" w:rsidRPr="000234D2">
        <w:rPr>
          <w:rStyle w:val="BookTitle"/>
          <w:rFonts w:ascii="Garamond" w:hAnsi="Garamond"/>
          <w:b w:val="0"/>
          <w:i w:val="0"/>
          <w:sz w:val="22"/>
          <w:szCs w:val="22"/>
          <w:lang w:val="fr-FR"/>
        </w:rPr>
        <w:t>FA</w:t>
      </w:r>
      <w:r w:rsidRPr="000234D2">
        <w:rPr>
          <w:rStyle w:val="BookTitle"/>
          <w:rFonts w:ascii="Garamond" w:hAnsi="Garamond"/>
          <w:b w:val="0"/>
          <w:i w:val="0"/>
          <w:sz w:val="22"/>
          <w:szCs w:val="22"/>
          <w:lang w:val="fr-FR"/>
        </w:rPr>
        <w:t>). Ce qui a entraîné la diminution des ressources financières et compromis la politique de subvention d’intrants et d’équipement agricole.</w:t>
      </w:r>
    </w:p>
    <w:p w14:paraId="563114FA" w14:textId="7F5B4E26" w:rsidR="00152D6B" w:rsidRPr="000234D2" w:rsidRDefault="00880D57" w:rsidP="00170C87">
      <w:pPr>
        <w:pStyle w:val="ListParagraph"/>
        <w:numPr>
          <w:ilvl w:val="0"/>
          <w:numId w:val="17"/>
        </w:numPr>
        <w:ind w:left="90" w:hanging="180"/>
        <w:rPr>
          <w:rFonts w:ascii="Garamond" w:hAnsi="Garamond"/>
          <w:b/>
          <w:color w:val="000000"/>
          <w:sz w:val="22"/>
          <w:szCs w:val="22"/>
          <w:lang w:val="fr-FR"/>
        </w:rPr>
      </w:pPr>
      <w:r w:rsidRPr="000234D2">
        <w:rPr>
          <w:rFonts w:ascii="Garamond" w:hAnsi="Garamond"/>
          <w:b/>
          <w:color w:val="000000"/>
          <w:sz w:val="22"/>
          <w:szCs w:val="22"/>
          <w:lang w:val="fr-FR"/>
        </w:rPr>
        <w:t xml:space="preserve"> </w:t>
      </w:r>
      <w:r w:rsidR="00152D6B" w:rsidRPr="000234D2">
        <w:rPr>
          <w:rFonts w:ascii="Garamond" w:hAnsi="Garamond"/>
          <w:b/>
          <w:color w:val="000000"/>
          <w:sz w:val="22"/>
          <w:szCs w:val="22"/>
          <w:lang w:val="fr-FR"/>
        </w:rPr>
        <w:t>L</w:t>
      </w:r>
      <w:r w:rsidRPr="000234D2">
        <w:rPr>
          <w:rFonts w:ascii="Garamond" w:hAnsi="Garamond"/>
          <w:b/>
          <w:color w:val="000000"/>
          <w:sz w:val="22"/>
          <w:szCs w:val="22"/>
          <w:lang w:val="fr-FR"/>
        </w:rPr>
        <w:t xml:space="preserve">a période </w:t>
      </w:r>
      <w:r w:rsidR="00A272B5" w:rsidRPr="000234D2">
        <w:rPr>
          <w:rFonts w:ascii="Garamond" w:hAnsi="Garamond"/>
          <w:b/>
          <w:color w:val="000000"/>
          <w:sz w:val="22"/>
          <w:szCs w:val="22"/>
          <w:lang w:val="fr-FR"/>
        </w:rPr>
        <w:t xml:space="preserve">de </w:t>
      </w:r>
      <w:r w:rsidRPr="000234D2">
        <w:rPr>
          <w:rFonts w:ascii="Garamond" w:hAnsi="Garamond"/>
          <w:b/>
          <w:color w:val="000000"/>
          <w:sz w:val="22"/>
          <w:szCs w:val="22"/>
          <w:lang w:val="fr-FR"/>
        </w:rPr>
        <w:t>l'ajustement structurel (1980-1990)</w:t>
      </w:r>
      <w:r w:rsidR="00566CD2" w:rsidRPr="000234D2">
        <w:rPr>
          <w:rFonts w:ascii="Garamond" w:hAnsi="Garamond"/>
          <w:b/>
          <w:color w:val="000000"/>
          <w:sz w:val="22"/>
          <w:szCs w:val="22"/>
          <w:lang w:val="fr-FR"/>
        </w:rPr>
        <w:t> :</w:t>
      </w:r>
      <w:r w:rsidRPr="000234D2">
        <w:rPr>
          <w:rFonts w:ascii="Garamond" w:hAnsi="Garamond"/>
          <w:b/>
          <w:color w:val="000000"/>
          <w:sz w:val="22"/>
          <w:szCs w:val="22"/>
          <w:lang w:val="fr-FR"/>
        </w:rPr>
        <w:t xml:space="preserve"> </w:t>
      </w:r>
      <w:r w:rsidR="00152D6B" w:rsidRPr="000234D2">
        <w:rPr>
          <w:rFonts w:ascii="Garamond" w:hAnsi="Garamond"/>
          <w:b/>
          <w:color w:val="000000"/>
          <w:sz w:val="22"/>
          <w:szCs w:val="22"/>
          <w:lang w:val="fr-FR"/>
        </w:rPr>
        <w:t xml:space="preserve">le </w:t>
      </w:r>
      <w:proofErr w:type="spellStart"/>
      <w:r w:rsidR="00152D6B" w:rsidRPr="000234D2">
        <w:rPr>
          <w:rFonts w:ascii="Garamond" w:hAnsi="Garamond"/>
          <w:b/>
          <w:color w:val="000000"/>
          <w:sz w:val="22"/>
          <w:szCs w:val="22"/>
          <w:lang w:val="fr-FR"/>
        </w:rPr>
        <w:t>debut</w:t>
      </w:r>
      <w:proofErr w:type="spellEnd"/>
      <w:r w:rsidR="00152D6B" w:rsidRPr="000234D2">
        <w:rPr>
          <w:rFonts w:ascii="Garamond" w:hAnsi="Garamond"/>
          <w:b/>
          <w:color w:val="000000"/>
          <w:sz w:val="22"/>
          <w:szCs w:val="22"/>
          <w:lang w:val="fr-FR"/>
        </w:rPr>
        <w:t xml:space="preserve"> de la remise en cause des subventions agricoles. </w:t>
      </w:r>
    </w:p>
    <w:p w14:paraId="2B9B2C6B" w14:textId="724913D3" w:rsidR="00880D57" w:rsidRPr="000234D2" w:rsidRDefault="00152D6B" w:rsidP="00170C87">
      <w:pPr>
        <w:pStyle w:val="MMNotes"/>
        <w:spacing w:after="120" w:line="240" w:lineRule="auto"/>
        <w:jc w:val="both"/>
        <w:rPr>
          <w:rFonts w:ascii="Garamond" w:eastAsiaTheme="minorHAnsi" w:hAnsi="Garamond"/>
          <w:color w:val="000000"/>
          <w:sz w:val="22"/>
          <w:szCs w:val="22"/>
          <w:lang w:val="fr-FR"/>
        </w:rPr>
      </w:pPr>
      <w:r w:rsidRPr="000234D2">
        <w:rPr>
          <w:rFonts w:ascii="Garamond" w:hAnsi="Garamond"/>
          <w:color w:val="000000"/>
          <w:sz w:val="22"/>
          <w:szCs w:val="22"/>
          <w:lang w:val="fr-FR"/>
        </w:rPr>
        <w:t>Durant</w:t>
      </w:r>
      <w:r w:rsidR="00566CD2" w:rsidRPr="000234D2">
        <w:rPr>
          <w:rFonts w:ascii="Garamond" w:hAnsi="Garamond"/>
          <w:color w:val="000000"/>
          <w:sz w:val="22"/>
          <w:szCs w:val="22"/>
          <w:lang w:val="fr-FR"/>
        </w:rPr>
        <w:t xml:space="preserve"> </w:t>
      </w:r>
      <w:r w:rsidRPr="000234D2">
        <w:rPr>
          <w:rFonts w:ascii="Garamond" w:hAnsi="Garamond"/>
          <w:color w:val="000000"/>
          <w:sz w:val="22"/>
          <w:szCs w:val="22"/>
          <w:lang w:val="fr-FR"/>
        </w:rPr>
        <w:t xml:space="preserve">cette </w:t>
      </w:r>
      <w:r w:rsidR="00A272B5" w:rsidRPr="000234D2">
        <w:rPr>
          <w:rFonts w:ascii="Garamond" w:hAnsi="Garamond"/>
          <w:color w:val="000000"/>
          <w:sz w:val="22"/>
          <w:szCs w:val="22"/>
          <w:lang w:val="fr-FR"/>
        </w:rPr>
        <w:t>phase</w:t>
      </w:r>
      <w:r w:rsidR="005908B2" w:rsidRPr="000234D2">
        <w:rPr>
          <w:rFonts w:ascii="Garamond" w:hAnsi="Garamond"/>
          <w:color w:val="000000"/>
          <w:sz w:val="22"/>
          <w:szCs w:val="22"/>
          <w:lang w:val="fr-FR"/>
        </w:rPr>
        <w:t xml:space="preserve"> </w:t>
      </w:r>
      <w:r w:rsidR="00A272B5" w:rsidRPr="000234D2">
        <w:rPr>
          <w:rFonts w:ascii="Garamond" w:hAnsi="Garamond"/>
          <w:color w:val="000000"/>
          <w:sz w:val="22"/>
          <w:szCs w:val="22"/>
          <w:lang w:val="fr-FR"/>
        </w:rPr>
        <w:t>transitoire vers le libéralisme économique</w:t>
      </w:r>
      <w:r w:rsidRPr="000234D2">
        <w:rPr>
          <w:rFonts w:ascii="Garamond" w:hAnsi="Garamond"/>
          <w:color w:val="000000"/>
          <w:sz w:val="22"/>
          <w:szCs w:val="22"/>
          <w:lang w:val="fr-FR"/>
        </w:rPr>
        <w:t>,</w:t>
      </w:r>
      <w:r w:rsidR="00B63B49" w:rsidRPr="000234D2">
        <w:rPr>
          <w:rFonts w:ascii="Garamond" w:hAnsi="Garamond"/>
          <w:color w:val="000000"/>
          <w:sz w:val="22"/>
          <w:szCs w:val="22"/>
          <w:lang w:val="fr-FR"/>
        </w:rPr>
        <w:t xml:space="preserve"> </w:t>
      </w:r>
      <w:r w:rsidR="00880D57" w:rsidRPr="000234D2">
        <w:rPr>
          <w:rFonts w:ascii="Garamond" w:hAnsi="Garamond"/>
          <w:color w:val="000000"/>
          <w:sz w:val="22"/>
          <w:szCs w:val="22"/>
          <w:lang w:val="fr-FR"/>
        </w:rPr>
        <w:t>l’État a entamé son désengagement du secteur productif et des subventions agricoles</w:t>
      </w:r>
      <w:r w:rsidR="00867FB2" w:rsidRPr="000234D2">
        <w:rPr>
          <w:rFonts w:ascii="Garamond" w:hAnsi="Garamond"/>
          <w:color w:val="000000"/>
          <w:sz w:val="22"/>
          <w:szCs w:val="22"/>
          <w:lang w:val="fr-FR"/>
        </w:rPr>
        <w:t>.</w:t>
      </w:r>
      <w:r w:rsidR="003B7480" w:rsidRPr="000234D2">
        <w:rPr>
          <w:rFonts w:ascii="Garamond" w:hAnsi="Garamond"/>
          <w:color w:val="000000"/>
          <w:sz w:val="22"/>
          <w:szCs w:val="22"/>
          <w:lang w:val="fr-FR"/>
        </w:rPr>
        <w:t xml:space="preserve"> Dans le cadre de la mise en œuvre de ce </w:t>
      </w:r>
      <w:r w:rsidR="00A272B5" w:rsidRPr="000234D2">
        <w:rPr>
          <w:rFonts w:ascii="Garamond" w:hAnsi="Garamond"/>
          <w:color w:val="000000"/>
          <w:sz w:val="22"/>
          <w:szCs w:val="22"/>
          <w:lang w:val="fr-FR"/>
        </w:rPr>
        <w:t>p</w:t>
      </w:r>
      <w:r w:rsidR="003B7480" w:rsidRPr="000234D2">
        <w:rPr>
          <w:rFonts w:ascii="Garamond" w:hAnsi="Garamond"/>
          <w:color w:val="000000"/>
          <w:sz w:val="22"/>
          <w:szCs w:val="22"/>
          <w:lang w:val="fr-FR"/>
        </w:rPr>
        <w:t xml:space="preserve">rogramme d’ajustement, les politiques de subvention agricole ont été </w:t>
      </w:r>
      <w:r w:rsidR="00D17447" w:rsidRPr="000234D2">
        <w:rPr>
          <w:rFonts w:ascii="Garamond" w:hAnsi="Garamond"/>
          <w:color w:val="000000"/>
          <w:sz w:val="22"/>
          <w:szCs w:val="22"/>
          <w:lang w:val="fr-FR"/>
        </w:rPr>
        <w:t xml:space="preserve">découragées, puis </w:t>
      </w:r>
      <w:r w:rsidR="003B7480" w:rsidRPr="000234D2">
        <w:rPr>
          <w:rFonts w:ascii="Garamond" w:hAnsi="Garamond"/>
          <w:color w:val="000000"/>
          <w:sz w:val="22"/>
          <w:szCs w:val="22"/>
          <w:lang w:val="fr-FR"/>
        </w:rPr>
        <w:t>remises en cause par les principaux bailleurs de fonds. Plusieurs mesures visant la libéralisation de l’économie ont commencé à voir le jour, notamment la suppression, en 1986, du Monopole de l’Office des Produits Agricoles du Mali (</w:t>
      </w:r>
      <w:proofErr w:type="spellStart"/>
      <w:r w:rsidR="003B7480" w:rsidRPr="000234D2">
        <w:rPr>
          <w:rFonts w:ascii="Garamond" w:hAnsi="Garamond"/>
          <w:color w:val="000000"/>
          <w:sz w:val="22"/>
          <w:szCs w:val="22"/>
          <w:lang w:val="fr-FR"/>
        </w:rPr>
        <w:t>OPAM</w:t>
      </w:r>
      <w:proofErr w:type="spellEnd"/>
      <w:r w:rsidR="003B7480" w:rsidRPr="000234D2">
        <w:rPr>
          <w:rFonts w:ascii="Garamond" w:hAnsi="Garamond"/>
          <w:color w:val="000000"/>
          <w:sz w:val="22"/>
          <w:szCs w:val="22"/>
          <w:lang w:val="fr-FR"/>
        </w:rPr>
        <w:t xml:space="preserve">). </w:t>
      </w:r>
      <w:r w:rsidR="00CF1B49" w:rsidRPr="000234D2">
        <w:rPr>
          <w:rFonts w:ascii="Garamond" w:hAnsi="Garamond"/>
          <w:color w:val="000000"/>
          <w:sz w:val="22"/>
          <w:szCs w:val="22"/>
          <w:lang w:val="fr-FR"/>
        </w:rPr>
        <w:t>E</w:t>
      </w:r>
      <w:r w:rsidR="003B7480" w:rsidRPr="000234D2">
        <w:rPr>
          <w:rFonts w:ascii="Garamond" w:eastAsiaTheme="minorHAnsi" w:hAnsi="Garamond"/>
          <w:color w:val="000000"/>
          <w:sz w:val="22"/>
          <w:szCs w:val="22"/>
          <w:lang w:val="fr-FR"/>
        </w:rPr>
        <w:t>n 1987, à l’exception de la zone cotonnière, le Mali a finalement supprimé la politique de subvention des intrants et des équipements agricoles (</w:t>
      </w:r>
      <w:r w:rsidR="00E80397" w:rsidRPr="000234D2">
        <w:rPr>
          <w:rFonts w:ascii="Garamond" w:eastAsiaTheme="minorHAnsi" w:hAnsi="Garamond"/>
          <w:color w:val="000000"/>
          <w:sz w:val="22"/>
          <w:szCs w:val="22"/>
          <w:lang w:val="fr-FR"/>
        </w:rPr>
        <w:t>MA</w:t>
      </w:r>
      <w:r w:rsidR="003B7480" w:rsidRPr="000234D2">
        <w:rPr>
          <w:rFonts w:ascii="Garamond" w:eastAsiaTheme="minorHAnsi" w:hAnsi="Garamond"/>
          <w:color w:val="000000"/>
          <w:sz w:val="22"/>
          <w:szCs w:val="22"/>
          <w:lang w:val="fr-FR"/>
        </w:rPr>
        <w:t>, 2007, p</w:t>
      </w:r>
      <w:r w:rsidR="005300EC" w:rsidRPr="000234D2">
        <w:rPr>
          <w:rFonts w:ascii="Garamond" w:eastAsiaTheme="minorHAnsi" w:hAnsi="Garamond"/>
          <w:color w:val="000000"/>
          <w:sz w:val="22"/>
          <w:szCs w:val="22"/>
          <w:lang w:val="fr-FR"/>
        </w:rPr>
        <w:t>.</w:t>
      </w:r>
      <w:r w:rsidR="003B7480" w:rsidRPr="000234D2">
        <w:rPr>
          <w:rFonts w:ascii="Garamond" w:eastAsiaTheme="minorHAnsi" w:hAnsi="Garamond"/>
          <w:color w:val="000000"/>
          <w:sz w:val="22"/>
          <w:szCs w:val="22"/>
          <w:lang w:val="fr-FR"/>
        </w:rPr>
        <w:t>54</w:t>
      </w:r>
      <w:r w:rsidR="005300EC" w:rsidRPr="000234D2">
        <w:rPr>
          <w:rFonts w:ascii="Garamond" w:eastAsiaTheme="minorHAnsi" w:hAnsi="Garamond"/>
          <w:color w:val="000000"/>
          <w:sz w:val="22"/>
          <w:szCs w:val="22"/>
          <w:lang w:val="fr-FR"/>
        </w:rPr>
        <w:t> ; AGRA, 2018, p.5).</w:t>
      </w:r>
    </w:p>
    <w:p w14:paraId="4D3A0591" w14:textId="39A599F5" w:rsidR="00152D6B" w:rsidRPr="000234D2" w:rsidRDefault="00152D6B" w:rsidP="00170C87">
      <w:pPr>
        <w:pStyle w:val="ListParagraph"/>
        <w:numPr>
          <w:ilvl w:val="0"/>
          <w:numId w:val="17"/>
        </w:numPr>
        <w:ind w:left="90" w:hanging="180"/>
        <w:rPr>
          <w:rFonts w:ascii="Garamond" w:hAnsi="Garamond"/>
          <w:b/>
          <w:color w:val="000000"/>
          <w:sz w:val="22"/>
          <w:szCs w:val="22"/>
          <w:lang w:val="fr-FR"/>
        </w:rPr>
      </w:pPr>
      <w:r w:rsidRPr="000234D2">
        <w:rPr>
          <w:rFonts w:ascii="Garamond" w:hAnsi="Garamond"/>
          <w:b/>
          <w:color w:val="000000"/>
          <w:sz w:val="22"/>
          <w:szCs w:val="22"/>
          <w:lang w:val="fr-FR"/>
        </w:rPr>
        <w:t>L</w:t>
      </w:r>
      <w:r w:rsidR="00A272B5" w:rsidRPr="000234D2">
        <w:rPr>
          <w:rFonts w:ascii="Garamond" w:hAnsi="Garamond"/>
          <w:b/>
          <w:color w:val="000000"/>
          <w:sz w:val="22"/>
          <w:szCs w:val="22"/>
          <w:lang w:val="fr-FR"/>
        </w:rPr>
        <w:t>es premières années de libéralisation de l’économie (1990-2005)</w:t>
      </w:r>
      <w:r w:rsidR="00566CD2" w:rsidRPr="000234D2">
        <w:rPr>
          <w:rFonts w:ascii="Garamond" w:hAnsi="Garamond"/>
          <w:b/>
          <w:color w:val="000000"/>
          <w:sz w:val="22"/>
          <w:szCs w:val="22"/>
          <w:lang w:val="fr-FR"/>
        </w:rPr>
        <w:t xml:space="preserve"> : une </w:t>
      </w:r>
      <w:r w:rsidR="00156357" w:rsidRPr="000234D2">
        <w:rPr>
          <w:rFonts w:ascii="Garamond" w:hAnsi="Garamond"/>
          <w:b/>
          <w:color w:val="000000"/>
          <w:sz w:val="22"/>
          <w:szCs w:val="22"/>
          <w:lang w:val="fr-FR"/>
        </w:rPr>
        <w:t>limitation des subvention</w:t>
      </w:r>
      <w:r w:rsidR="0051088F" w:rsidRPr="000234D2">
        <w:rPr>
          <w:rFonts w:ascii="Garamond" w:hAnsi="Garamond"/>
          <w:b/>
          <w:color w:val="000000"/>
          <w:sz w:val="22"/>
          <w:szCs w:val="22"/>
          <w:lang w:val="fr-FR"/>
        </w:rPr>
        <w:t>s agricoles.</w:t>
      </w:r>
      <w:r w:rsidR="005908B2" w:rsidRPr="000234D2">
        <w:rPr>
          <w:rFonts w:ascii="Garamond" w:hAnsi="Garamond"/>
          <w:b/>
          <w:color w:val="000000"/>
          <w:sz w:val="22"/>
          <w:szCs w:val="22"/>
          <w:lang w:val="fr-FR"/>
        </w:rPr>
        <w:t xml:space="preserve"> </w:t>
      </w:r>
    </w:p>
    <w:p w14:paraId="5E7B1E2D" w14:textId="1BC6BE0E" w:rsidR="00880D57" w:rsidRPr="000234D2" w:rsidRDefault="00152D6B" w:rsidP="00170C87">
      <w:pPr>
        <w:spacing w:after="120"/>
        <w:jc w:val="both"/>
        <w:rPr>
          <w:rFonts w:ascii="Garamond" w:hAnsi="Garamond"/>
          <w:color w:val="000000"/>
          <w:sz w:val="22"/>
          <w:szCs w:val="22"/>
          <w:lang w:val="fr-FR"/>
        </w:rPr>
      </w:pPr>
      <w:r w:rsidRPr="000234D2">
        <w:rPr>
          <w:rFonts w:ascii="Garamond" w:hAnsi="Garamond"/>
          <w:color w:val="000000"/>
          <w:sz w:val="22"/>
          <w:szCs w:val="22"/>
          <w:lang w:val="fr-FR"/>
        </w:rPr>
        <w:t>D</w:t>
      </w:r>
      <w:r w:rsidR="0051088F" w:rsidRPr="000234D2">
        <w:rPr>
          <w:rFonts w:ascii="Garamond" w:hAnsi="Garamond"/>
          <w:color w:val="000000"/>
          <w:sz w:val="22"/>
          <w:szCs w:val="22"/>
          <w:lang w:val="fr-FR"/>
        </w:rPr>
        <w:t xml:space="preserve">ès le </w:t>
      </w:r>
      <w:proofErr w:type="spellStart"/>
      <w:r w:rsidR="0051088F" w:rsidRPr="000234D2">
        <w:rPr>
          <w:rFonts w:ascii="Garamond" w:hAnsi="Garamond"/>
          <w:color w:val="000000"/>
          <w:sz w:val="22"/>
          <w:szCs w:val="22"/>
          <w:lang w:val="fr-FR"/>
        </w:rPr>
        <w:t>debut</w:t>
      </w:r>
      <w:proofErr w:type="spellEnd"/>
      <w:r w:rsidR="0051088F" w:rsidRPr="000234D2">
        <w:rPr>
          <w:rFonts w:ascii="Garamond" w:hAnsi="Garamond"/>
          <w:color w:val="000000"/>
          <w:sz w:val="22"/>
          <w:szCs w:val="22"/>
          <w:lang w:val="fr-FR"/>
        </w:rPr>
        <w:t xml:space="preserve"> des années 1990, le Mali a définitivement adopté le libéralisme économique. C</w:t>
      </w:r>
      <w:r w:rsidR="0051088F" w:rsidRPr="000234D2">
        <w:rPr>
          <w:rFonts w:ascii="Garamond" w:hAnsi="Garamond"/>
          <w:sz w:val="22"/>
          <w:szCs w:val="22"/>
          <w:lang w:val="fr-FR"/>
        </w:rPr>
        <w:t xml:space="preserve">ette </w:t>
      </w:r>
      <w:r w:rsidR="0051088F" w:rsidRPr="000234D2">
        <w:rPr>
          <w:rFonts w:ascii="Garamond" w:hAnsi="Garamond"/>
          <w:color w:val="000000"/>
          <w:sz w:val="22"/>
          <w:szCs w:val="22"/>
          <w:lang w:val="fr-FR"/>
        </w:rPr>
        <w:t>adhésion à l’Organisation Mondiale du Commerce (OMC)</w:t>
      </w:r>
      <w:r w:rsidR="004E4678" w:rsidRPr="000234D2">
        <w:rPr>
          <w:rFonts w:ascii="Garamond" w:hAnsi="Garamond"/>
          <w:color w:val="000000"/>
          <w:sz w:val="22"/>
          <w:szCs w:val="22"/>
          <w:lang w:val="fr-FR"/>
        </w:rPr>
        <w:t xml:space="preserve"> </w:t>
      </w:r>
      <w:r w:rsidR="0051088F" w:rsidRPr="000234D2">
        <w:rPr>
          <w:rFonts w:ascii="Garamond" w:hAnsi="Garamond"/>
          <w:color w:val="000000"/>
          <w:sz w:val="22"/>
          <w:szCs w:val="22"/>
          <w:lang w:val="fr-FR"/>
        </w:rPr>
        <w:t>en 1995 a eu pour conséquences, l’adoption d’un certain nombre de règles visant à favoriser la libéralisation de l’économie, notamment les Accords de libre-échange mis en place par l'Acte final de l'Uruguay Round (15 avril 1994).</w:t>
      </w:r>
      <w:r w:rsidR="005908B2" w:rsidRPr="000234D2">
        <w:rPr>
          <w:rFonts w:ascii="Garamond" w:hAnsi="Garamond"/>
          <w:color w:val="000000"/>
          <w:sz w:val="22"/>
          <w:szCs w:val="22"/>
          <w:lang w:val="fr-FR"/>
        </w:rPr>
        <w:t xml:space="preserve"> </w:t>
      </w:r>
      <w:r w:rsidR="00451BCF" w:rsidRPr="000234D2">
        <w:rPr>
          <w:rFonts w:ascii="Garamond" w:hAnsi="Garamond"/>
          <w:color w:val="000000"/>
          <w:sz w:val="22"/>
          <w:szCs w:val="22"/>
          <w:lang w:val="fr-FR"/>
        </w:rPr>
        <w:t>Certains engagements de ces accords portaient sur</w:t>
      </w:r>
      <w:r w:rsidR="00156357" w:rsidRPr="000234D2">
        <w:rPr>
          <w:rFonts w:ascii="Garamond" w:hAnsi="Garamond"/>
          <w:color w:val="000000"/>
          <w:sz w:val="22"/>
          <w:szCs w:val="22"/>
          <w:lang w:val="fr-FR"/>
        </w:rPr>
        <w:t xml:space="preserve"> la limitation des subventions </w:t>
      </w:r>
      <w:r w:rsidR="00A667F8" w:rsidRPr="000234D2">
        <w:rPr>
          <w:rFonts w:ascii="Garamond" w:hAnsi="Garamond"/>
          <w:color w:val="000000"/>
          <w:sz w:val="22"/>
          <w:szCs w:val="22"/>
          <w:lang w:val="fr-FR"/>
        </w:rPr>
        <w:t xml:space="preserve">à </w:t>
      </w:r>
      <w:r w:rsidR="00156357" w:rsidRPr="000234D2">
        <w:rPr>
          <w:rFonts w:ascii="Garamond" w:hAnsi="Garamond"/>
          <w:color w:val="000000"/>
          <w:sz w:val="22"/>
          <w:szCs w:val="22"/>
          <w:lang w:val="fr-FR"/>
        </w:rPr>
        <w:t xml:space="preserve">l’agriculture et les aides </w:t>
      </w:r>
      <w:r w:rsidR="00EE1D31" w:rsidRPr="000234D2">
        <w:rPr>
          <w:rFonts w:ascii="Garamond" w:hAnsi="Garamond"/>
          <w:color w:val="000000"/>
          <w:sz w:val="22"/>
          <w:szCs w:val="22"/>
          <w:lang w:val="fr-FR"/>
        </w:rPr>
        <w:t xml:space="preserve">à </w:t>
      </w:r>
      <w:r w:rsidR="00156357" w:rsidRPr="000234D2">
        <w:rPr>
          <w:rFonts w:ascii="Garamond" w:hAnsi="Garamond"/>
          <w:color w:val="000000"/>
          <w:sz w:val="22"/>
          <w:szCs w:val="22"/>
          <w:lang w:val="fr-FR"/>
        </w:rPr>
        <w:t>l’exportation (</w:t>
      </w:r>
      <w:r w:rsidR="00E80397" w:rsidRPr="000234D2">
        <w:rPr>
          <w:rFonts w:ascii="Garamond" w:hAnsi="Garamond"/>
          <w:color w:val="000000"/>
          <w:sz w:val="22"/>
          <w:szCs w:val="22"/>
          <w:lang w:val="fr-FR"/>
        </w:rPr>
        <w:t>MA</w:t>
      </w:r>
      <w:r w:rsidR="00156357" w:rsidRPr="000234D2">
        <w:rPr>
          <w:rFonts w:ascii="Garamond" w:hAnsi="Garamond"/>
          <w:color w:val="000000"/>
          <w:sz w:val="22"/>
          <w:szCs w:val="22"/>
          <w:lang w:val="fr-FR"/>
        </w:rPr>
        <w:t>, 2007,</w:t>
      </w:r>
      <w:r w:rsidR="00E80397" w:rsidRPr="000234D2">
        <w:rPr>
          <w:rFonts w:ascii="Garamond" w:hAnsi="Garamond"/>
          <w:color w:val="000000"/>
          <w:sz w:val="22"/>
          <w:szCs w:val="22"/>
          <w:lang w:val="fr-FR"/>
        </w:rPr>
        <w:t xml:space="preserve"> </w:t>
      </w:r>
      <w:r w:rsidR="00156357" w:rsidRPr="000234D2">
        <w:rPr>
          <w:rFonts w:ascii="Garamond" w:hAnsi="Garamond"/>
          <w:color w:val="000000"/>
          <w:sz w:val="22"/>
          <w:szCs w:val="22"/>
          <w:lang w:val="fr-FR"/>
        </w:rPr>
        <w:t xml:space="preserve">p.47). </w:t>
      </w:r>
      <w:r w:rsidR="00A272B5" w:rsidRPr="000234D2">
        <w:rPr>
          <w:rFonts w:ascii="Garamond" w:hAnsi="Garamond"/>
          <w:color w:val="000000"/>
          <w:sz w:val="22"/>
          <w:szCs w:val="22"/>
          <w:lang w:val="fr-FR"/>
        </w:rPr>
        <w:t>A cet égard,</w:t>
      </w:r>
      <w:r w:rsidR="00451BCF" w:rsidRPr="000234D2">
        <w:rPr>
          <w:rFonts w:ascii="Garamond" w:hAnsi="Garamond"/>
          <w:color w:val="000000"/>
          <w:sz w:val="22"/>
          <w:szCs w:val="22"/>
          <w:lang w:val="fr-FR"/>
        </w:rPr>
        <w:t xml:space="preserve"> </w:t>
      </w:r>
      <w:r w:rsidR="00A14DA0" w:rsidRPr="000234D2">
        <w:rPr>
          <w:rFonts w:ascii="Garamond" w:hAnsi="Garamond"/>
          <w:color w:val="000000"/>
          <w:sz w:val="22"/>
          <w:szCs w:val="22"/>
          <w:lang w:val="fr-FR"/>
        </w:rPr>
        <w:t>les mesures de la libéralisation n’étaient pas en phase avec </w:t>
      </w:r>
      <w:r w:rsidR="00451BCF" w:rsidRPr="000234D2">
        <w:rPr>
          <w:rFonts w:ascii="Garamond" w:hAnsi="Garamond"/>
          <w:color w:val="000000"/>
          <w:sz w:val="22"/>
          <w:szCs w:val="22"/>
          <w:lang w:val="fr-FR"/>
        </w:rPr>
        <w:t>les subventions</w:t>
      </w:r>
      <w:r w:rsidR="00A14DA0" w:rsidRPr="000234D2">
        <w:rPr>
          <w:rFonts w:ascii="Garamond" w:hAnsi="Garamond"/>
          <w:color w:val="000000"/>
          <w:sz w:val="22"/>
          <w:szCs w:val="22"/>
          <w:lang w:val="fr-FR"/>
        </w:rPr>
        <w:t xml:space="preserve"> </w:t>
      </w:r>
      <w:r w:rsidR="00451BCF" w:rsidRPr="000234D2">
        <w:rPr>
          <w:rFonts w:ascii="Garamond" w:hAnsi="Garamond"/>
          <w:color w:val="000000"/>
          <w:sz w:val="22"/>
          <w:szCs w:val="22"/>
          <w:lang w:val="fr-FR"/>
        </w:rPr>
        <w:t>agric</w:t>
      </w:r>
      <w:r w:rsidR="00A14DA0" w:rsidRPr="000234D2">
        <w:rPr>
          <w:rFonts w:ascii="Garamond" w:hAnsi="Garamond"/>
          <w:color w:val="000000"/>
          <w:sz w:val="22"/>
          <w:szCs w:val="22"/>
          <w:lang w:val="fr-FR"/>
        </w:rPr>
        <w:t xml:space="preserve">oles qui </w:t>
      </w:r>
      <w:r w:rsidR="00A272B5" w:rsidRPr="000234D2">
        <w:rPr>
          <w:rFonts w:ascii="Garamond" w:hAnsi="Garamond"/>
          <w:color w:val="000000"/>
          <w:sz w:val="22"/>
          <w:szCs w:val="22"/>
          <w:lang w:val="fr-FR"/>
        </w:rPr>
        <w:t xml:space="preserve">ont </w:t>
      </w:r>
      <w:r w:rsidR="00A14DA0" w:rsidRPr="000234D2">
        <w:rPr>
          <w:rFonts w:ascii="Garamond" w:hAnsi="Garamond"/>
          <w:color w:val="000000"/>
          <w:sz w:val="22"/>
          <w:szCs w:val="22"/>
          <w:lang w:val="fr-FR"/>
        </w:rPr>
        <w:t xml:space="preserve">donc </w:t>
      </w:r>
      <w:r w:rsidR="00A272B5" w:rsidRPr="000234D2">
        <w:rPr>
          <w:rFonts w:ascii="Garamond" w:hAnsi="Garamond"/>
          <w:color w:val="000000"/>
          <w:sz w:val="22"/>
          <w:szCs w:val="22"/>
          <w:lang w:val="fr-FR"/>
        </w:rPr>
        <w:t xml:space="preserve">été </w:t>
      </w:r>
      <w:r w:rsidR="00451BCF" w:rsidRPr="000234D2">
        <w:rPr>
          <w:rFonts w:ascii="Garamond" w:hAnsi="Garamond"/>
          <w:color w:val="000000"/>
          <w:sz w:val="22"/>
          <w:szCs w:val="22"/>
          <w:lang w:val="fr-FR"/>
        </w:rPr>
        <w:t>supprimées pour la plupart des filières agricoles</w:t>
      </w:r>
      <w:r w:rsidR="00D17447" w:rsidRPr="000234D2">
        <w:rPr>
          <w:rFonts w:ascii="Garamond" w:hAnsi="Garamond"/>
          <w:color w:val="000000"/>
          <w:sz w:val="22"/>
          <w:szCs w:val="22"/>
          <w:lang w:val="fr-FR"/>
        </w:rPr>
        <w:t xml:space="preserve"> à l’exception de la filière coton</w:t>
      </w:r>
      <w:r w:rsidR="00451BCF" w:rsidRPr="000234D2">
        <w:rPr>
          <w:rFonts w:ascii="Garamond" w:hAnsi="Garamond"/>
          <w:color w:val="000000"/>
          <w:sz w:val="22"/>
          <w:szCs w:val="22"/>
          <w:lang w:val="fr-FR"/>
        </w:rPr>
        <w:t>.</w:t>
      </w:r>
    </w:p>
    <w:p w14:paraId="162C49DD" w14:textId="27B8344B" w:rsidR="00920476" w:rsidRPr="000234D2" w:rsidRDefault="00152D6B" w:rsidP="00170C87">
      <w:pPr>
        <w:pStyle w:val="ListParagraph"/>
        <w:numPr>
          <w:ilvl w:val="0"/>
          <w:numId w:val="17"/>
        </w:numPr>
        <w:ind w:left="90" w:hanging="180"/>
        <w:rPr>
          <w:rFonts w:ascii="Garamond" w:hAnsi="Garamond"/>
          <w:b/>
          <w:color w:val="000000"/>
          <w:sz w:val="22"/>
          <w:szCs w:val="22"/>
          <w:lang w:val="fr-FR"/>
        </w:rPr>
      </w:pPr>
      <w:r w:rsidRPr="000234D2">
        <w:rPr>
          <w:rFonts w:ascii="Garamond" w:hAnsi="Garamond"/>
          <w:b/>
          <w:color w:val="000000"/>
          <w:sz w:val="22"/>
          <w:szCs w:val="22"/>
          <w:lang w:val="fr-FR"/>
        </w:rPr>
        <w:t>L</w:t>
      </w:r>
      <w:r w:rsidR="00451BCF" w:rsidRPr="000234D2">
        <w:rPr>
          <w:rFonts w:ascii="Garamond" w:hAnsi="Garamond"/>
          <w:b/>
          <w:color w:val="000000"/>
          <w:sz w:val="22"/>
          <w:szCs w:val="22"/>
          <w:lang w:val="fr-FR"/>
        </w:rPr>
        <w:t xml:space="preserve">a </w:t>
      </w:r>
      <w:r w:rsidR="00A272B5" w:rsidRPr="000234D2">
        <w:rPr>
          <w:rFonts w:ascii="Garamond" w:hAnsi="Garamond"/>
          <w:b/>
          <w:color w:val="000000"/>
          <w:sz w:val="22"/>
          <w:szCs w:val="22"/>
          <w:lang w:val="fr-FR"/>
        </w:rPr>
        <w:t xml:space="preserve">période </w:t>
      </w:r>
      <w:r w:rsidR="00A667F8" w:rsidRPr="000234D2">
        <w:rPr>
          <w:rFonts w:ascii="Garamond" w:hAnsi="Garamond"/>
          <w:b/>
          <w:color w:val="000000"/>
          <w:sz w:val="22"/>
          <w:szCs w:val="22"/>
          <w:lang w:val="fr-FR"/>
        </w:rPr>
        <w:t xml:space="preserve">suivant la crise alimentaire et nutritionnelle mondiale de </w:t>
      </w:r>
      <w:r w:rsidR="00566CD2" w:rsidRPr="000234D2">
        <w:rPr>
          <w:rFonts w:ascii="Garamond" w:hAnsi="Garamond"/>
          <w:b/>
          <w:color w:val="000000"/>
          <w:sz w:val="22"/>
          <w:szCs w:val="22"/>
          <w:lang w:val="fr-FR"/>
        </w:rPr>
        <w:t>2007 à nos jours : un</w:t>
      </w:r>
      <w:r w:rsidR="00A667F8" w:rsidRPr="000234D2">
        <w:rPr>
          <w:rFonts w:ascii="Garamond" w:hAnsi="Garamond"/>
          <w:b/>
          <w:color w:val="000000"/>
          <w:sz w:val="22"/>
          <w:szCs w:val="22"/>
          <w:lang w:val="fr-FR"/>
        </w:rPr>
        <w:t>e relance des</w:t>
      </w:r>
      <w:r w:rsidRPr="000234D2">
        <w:rPr>
          <w:rFonts w:ascii="Garamond" w:hAnsi="Garamond"/>
          <w:b/>
          <w:color w:val="000000"/>
          <w:sz w:val="22"/>
          <w:szCs w:val="22"/>
          <w:lang w:val="fr-FR"/>
        </w:rPr>
        <w:t xml:space="preserve"> </w:t>
      </w:r>
      <w:r w:rsidR="00451BCF" w:rsidRPr="000234D2">
        <w:rPr>
          <w:rFonts w:ascii="Garamond" w:hAnsi="Garamond"/>
          <w:b/>
          <w:color w:val="000000"/>
          <w:sz w:val="22"/>
          <w:szCs w:val="22"/>
          <w:lang w:val="fr-FR"/>
        </w:rPr>
        <w:t xml:space="preserve">politiques de subvention </w:t>
      </w:r>
      <w:r w:rsidR="00880D57" w:rsidRPr="000234D2">
        <w:rPr>
          <w:rFonts w:ascii="Garamond" w:hAnsi="Garamond"/>
          <w:b/>
          <w:color w:val="000000"/>
          <w:sz w:val="22"/>
          <w:szCs w:val="22"/>
          <w:lang w:val="fr-FR"/>
        </w:rPr>
        <w:t>à</w:t>
      </w:r>
      <w:r w:rsidR="00451BCF" w:rsidRPr="000234D2">
        <w:rPr>
          <w:rFonts w:ascii="Garamond" w:hAnsi="Garamond"/>
          <w:b/>
          <w:color w:val="000000"/>
          <w:sz w:val="22"/>
          <w:szCs w:val="22"/>
          <w:lang w:val="fr-FR"/>
        </w:rPr>
        <w:t> l’</w:t>
      </w:r>
      <w:proofErr w:type="spellStart"/>
      <w:r w:rsidR="00451BCF" w:rsidRPr="000234D2">
        <w:rPr>
          <w:rFonts w:ascii="Garamond" w:hAnsi="Garamond"/>
          <w:b/>
          <w:color w:val="000000"/>
          <w:sz w:val="22"/>
          <w:szCs w:val="22"/>
          <w:lang w:val="fr-FR"/>
        </w:rPr>
        <w:t>agriculure</w:t>
      </w:r>
      <w:proofErr w:type="spellEnd"/>
      <w:r w:rsidR="00880D57" w:rsidRPr="000234D2">
        <w:rPr>
          <w:rFonts w:ascii="Garamond" w:hAnsi="Garamond"/>
          <w:b/>
          <w:color w:val="000000"/>
          <w:sz w:val="22"/>
          <w:szCs w:val="22"/>
          <w:lang w:val="fr-FR"/>
        </w:rPr>
        <w:t xml:space="preserve"> </w:t>
      </w:r>
      <w:r w:rsidR="00566CD2" w:rsidRPr="000234D2">
        <w:rPr>
          <w:rFonts w:ascii="Garamond" w:hAnsi="Garamond"/>
          <w:b/>
          <w:color w:val="000000"/>
          <w:sz w:val="22"/>
          <w:szCs w:val="22"/>
          <w:lang w:val="fr-FR"/>
        </w:rPr>
        <w:t>et à leur réhabilitation</w:t>
      </w:r>
      <w:r w:rsidR="00451BCF" w:rsidRPr="000234D2">
        <w:rPr>
          <w:rFonts w:ascii="Garamond" w:hAnsi="Garamond"/>
          <w:b/>
          <w:color w:val="000000"/>
          <w:sz w:val="22"/>
          <w:szCs w:val="22"/>
          <w:lang w:val="fr-FR"/>
        </w:rPr>
        <w:t xml:space="preserve">. </w:t>
      </w:r>
    </w:p>
    <w:p w14:paraId="07964AB2" w14:textId="68415833" w:rsidR="00A14DA0" w:rsidRPr="000234D2" w:rsidRDefault="00A14DA0" w:rsidP="00170C87">
      <w:pPr>
        <w:pStyle w:val="MMNotes"/>
        <w:spacing w:line="240" w:lineRule="auto"/>
        <w:jc w:val="both"/>
        <w:rPr>
          <w:rFonts w:ascii="Garamond" w:hAnsi="Garamond"/>
          <w:color w:val="000000"/>
          <w:sz w:val="22"/>
          <w:szCs w:val="22"/>
          <w:lang w:val="fr-FR"/>
        </w:rPr>
      </w:pPr>
      <w:r w:rsidRPr="000234D2">
        <w:rPr>
          <w:rFonts w:ascii="Garamond" w:hAnsi="Garamond"/>
          <w:color w:val="000000"/>
          <w:sz w:val="22"/>
          <w:szCs w:val="22"/>
          <w:lang w:val="fr-FR"/>
        </w:rPr>
        <w:t>A partir de 2007/2008, la question de la subvention agricole a refait surface au Mali grâce à la conjonction de deux facteurs majeurs. D’une part</w:t>
      </w:r>
      <w:r w:rsidR="005908B2" w:rsidRPr="000234D2">
        <w:rPr>
          <w:rFonts w:ascii="Garamond" w:hAnsi="Garamond"/>
          <w:color w:val="000000"/>
          <w:sz w:val="22"/>
          <w:szCs w:val="22"/>
          <w:lang w:val="fr-FR"/>
        </w:rPr>
        <w:t xml:space="preserve"> </w:t>
      </w:r>
      <w:r w:rsidRPr="000234D2">
        <w:rPr>
          <w:rFonts w:ascii="Garamond" w:hAnsi="Garamond"/>
          <w:color w:val="000000"/>
          <w:sz w:val="22"/>
          <w:szCs w:val="22"/>
          <w:lang w:val="fr-FR"/>
        </w:rPr>
        <w:t>en raison de : (</w:t>
      </w:r>
      <w:r w:rsidR="00A667F8" w:rsidRPr="000234D2">
        <w:rPr>
          <w:rFonts w:ascii="Garamond" w:hAnsi="Garamond"/>
          <w:color w:val="000000"/>
          <w:sz w:val="22"/>
          <w:szCs w:val="22"/>
          <w:lang w:val="fr-FR"/>
        </w:rPr>
        <w:t>1</w:t>
      </w:r>
      <w:r w:rsidRPr="000234D2">
        <w:rPr>
          <w:rFonts w:ascii="Garamond" w:hAnsi="Garamond"/>
          <w:color w:val="000000"/>
          <w:sz w:val="22"/>
          <w:szCs w:val="22"/>
          <w:lang w:val="fr-FR"/>
        </w:rPr>
        <w:t xml:space="preserve">) la </w:t>
      </w:r>
      <w:r w:rsidR="00A667F8" w:rsidRPr="000234D2">
        <w:rPr>
          <w:rFonts w:ascii="Garamond" w:hAnsi="Garamond"/>
          <w:color w:val="000000"/>
          <w:sz w:val="22"/>
          <w:szCs w:val="22"/>
          <w:lang w:val="fr-FR"/>
        </w:rPr>
        <w:t>D</w:t>
      </w:r>
      <w:r w:rsidRPr="000234D2">
        <w:rPr>
          <w:rFonts w:ascii="Garamond" w:hAnsi="Garamond"/>
          <w:color w:val="000000"/>
          <w:sz w:val="22"/>
          <w:szCs w:val="22"/>
          <w:lang w:val="fr-FR"/>
        </w:rPr>
        <w:t xml:space="preserve">éclaration d’Abuja du sommet </w:t>
      </w:r>
      <w:r w:rsidR="00D17447" w:rsidRPr="000234D2">
        <w:rPr>
          <w:rFonts w:ascii="Garamond" w:hAnsi="Garamond"/>
          <w:color w:val="000000"/>
          <w:sz w:val="22"/>
          <w:szCs w:val="22"/>
          <w:lang w:val="fr-FR"/>
        </w:rPr>
        <w:t xml:space="preserve">de </w:t>
      </w:r>
      <w:r w:rsidRPr="000234D2">
        <w:rPr>
          <w:rFonts w:ascii="Garamond" w:hAnsi="Garamond"/>
          <w:color w:val="000000"/>
          <w:sz w:val="22"/>
          <w:szCs w:val="22"/>
          <w:lang w:val="fr-FR"/>
        </w:rPr>
        <w:t>l’Unité Africaine sur les engrais en Afrique, au Nigéria, en 2006</w:t>
      </w:r>
      <w:r w:rsidR="00EE1D31" w:rsidRPr="000234D2">
        <w:rPr>
          <w:rFonts w:ascii="Garamond" w:hAnsi="Garamond"/>
          <w:color w:val="000000"/>
          <w:sz w:val="22"/>
          <w:szCs w:val="22"/>
          <w:lang w:val="fr-FR"/>
        </w:rPr>
        <w:t xml:space="preserve"> </w:t>
      </w:r>
      <w:r w:rsidRPr="000234D2">
        <w:rPr>
          <w:rFonts w:ascii="Garamond" w:hAnsi="Garamond"/>
          <w:color w:val="000000"/>
          <w:sz w:val="22"/>
          <w:szCs w:val="22"/>
          <w:lang w:val="fr-FR"/>
        </w:rPr>
        <w:t>; et (</w:t>
      </w:r>
      <w:r w:rsidR="00A667F8" w:rsidRPr="000234D2">
        <w:rPr>
          <w:rFonts w:ascii="Garamond" w:hAnsi="Garamond"/>
          <w:color w:val="000000"/>
          <w:sz w:val="22"/>
          <w:szCs w:val="22"/>
          <w:lang w:val="fr-FR"/>
        </w:rPr>
        <w:t>2</w:t>
      </w:r>
      <w:r w:rsidRPr="000234D2">
        <w:rPr>
          <w:rFonts w:ascii="Garamond" w:hAnsi="Garamond"/>
          <w:color w:val="000000"/>
          <w:sz w:val="22"/>
          <w:szCs w:val="22"/>
          <w:lang w:val="fr-FR"/>
        </w:rPr>
        <w:t>) d’autre part, la crise alimentaire et nutritionnelle mondiale de 2007/2008.</w:t>
      </w:r>
    </w:p>
    <w:p w14:paraId="27D10060" w14:textId="74F96FC5" w:rsidR="00A14DA0" w:rsidRPr="000234D2" w:rsidRDefault="00A14DA0" w:rsidP="00170C87">
      <w:pPr>
        <w:pStyle w:val="MMNotes"/>
        <w:spacing w:after="120" w:line="240" w:lineRule="auto"/>
        <w:jc w:val="both"/>
        <w:rPr>
          <w:rFonts w:ascii="Garamond" w:hAnsi="Garamond"/>
          <w:color w:val="000000"/>
          <w:sz w:val="22"/>
          <w:szCs w:val="22"/>
          <w:lang w:val="fr-FR"/>
        </w:rPr>
      </w:pPr>
      <w:r w:rsidRPr="000234D2">
        <w:rPr>
          <w:rFonts w:ascii="Garamond" w:hAnsi="Garamond"/>
          <w:color w:val="000000"/>
          <w:sz w:val="22"/>
          <w:szCs w:val="22"/>
          <w:lang w:val="fr-FR"/>
        </w:rPr>
        <w:t xml:space="preserve">La déclaration adoptée à l’issue du sommet dite “Déclaration d’Abuja sur les Engrais et la Révolution verte africaine” invitait tous les pays africains à accroitre la consommation d’engrais. </w:t>
      </w:r>
      <w:r w:rsidR="004E4678" w:rsidRPr="000234D2">
        <w:rPr>
          <w:rFonts w:ascii="Garamond" w:hAnsi="Garamond"/>
          <w:color w:val="000000"/>
          <w:sz w:val="22"/>
          <w:szCs w:val="22"/>
          <w:lang w:val="fr-FR"/>
        </w:rPr>
        <w:t>L</w:t>
      </w:r>
      <w:r w:rsidRPr="000234D2">
        <w:rPr>
          <w:rFonts w:ascii="Garamond" w:hAnsi="Garamond"/>
          <w:color w:val="000000"/>
          <w:sz w:val="22"/>
          <w:szCs w:val="22"/>
          <w:lang w:val="fr-FR"/>
        </w:rPr>
        <w:t xml:space="preserve">e point cinq (5) de cette déclaration remettait sur la table la question de la subvention des engrais. C’est pourquoi les États membres ont décidé d’accorder des subventions d’engrais ciblées pour aider les agriculteurs les plus pauvres, particulièrement les </w:t>
      </w:r>
      <w:r w:rsidR="008943D0" w:rsidRPr="000234D2">
        <w:rPr>
          <w:rFonts w:ascii="Garamond" w:hAnsi="Garamond"/>
          <w:color w:val="000000"/>
          <w:sz w:val="22"/>
          <w:szCs w:val="22"/>
          <w:lang w:val="fr-FR"/>
        </w:rPr>
        <w:t>femmes</w:t>
      </w:r>
      <w:r w:rsidRPr="000234D2">
        <w:rPr>
          <w:rFonts w:ascii="Garamond" w:hAnsi="Garamond"/>
          <w:color w:val="000000"/>
          <w:sz w:val="22"/>
          <w:szCs w:val="22"/>
          <w:lang w:val="fr-FR"/>
        </w:rPr>
        <w:t xml:space="preserve">, et/ou les agriculteurs non </w:t>
      </w:r>
      <w:r w:rsidRPr="000234D2">
        <w:rPr>
          <w:rFonts w:ascii="Garamond" w:hAnsi="Garamond"/>
          <w:color w:val="000000"/>
          <w:sz w:val="22"/>
          <w:szCs w:val="22"/>
          <w:lang w:val="fr-FR"/>
        </w:rPr>
        <w:lastRenderedPageBreak/>
        <w:t>titulaires de titre foncier, en vue d’accroître l’utilisation d’engrais au sein de ces groupes.</w:t>
      </w:r>
    </w:p>
    <w:p w14:paraId="4EAE4816" w14:textId="1065E6D7" w:rsidR="00A14DA0" w:rsidRPr="000234D2" w:rsidRDefault="00A14DA0" w:rsidP="00170C87">
      <w:pPr>
        <w:pStyle w:val="MMNotes"/>
        <w:spacing w:line="240" w:lineRule="auto"/>
        <w:jc w:val="both"/>
        <w:rPr>
          <w:rFonts w:ascii="Garamond" w:hAnsi="Garamond"/>
          <w:color w:val="000000"/>
          <w:sz w:val="22"/>
          <w:szCs w:val="22"/>
          <w:lang w:val="fr-FR"/>
        </w:rPr>
      </w:pPr>
      <w:r w:rsidRPr="000234D2">
        <w:rPr>
          <w:rFonts w:ascii="Garamond" w:hAnsi="Garamond"/>
          <w:color w:val="000000"/>
          <w:sz w:val="22"/>
          <w:szCs w:val="22"/>
          <w:lang w:val="fr-FR"/>
        </w:rPr>
        <w:t>Les résolutions du</w:t>
      </w:r>
      <w:r w:rsidR="00880AA4" w:rsidRPr="000234D2">
        <w:rPr>
          <w:rFonts w:ascii="Garamond" w:hAnsi="Garamond"/>
          <w:color w:val="000000"/>
          <w:sz w:val="22"/>
          <w:szCs w:val="22"/>
          <w:lang w:val="fr-FR"/>
        </w:rPr>
        <w:t>dit</w:t>
      </w:r>
      <w:r w:rsidRPr="000234D2">
        <w:rPr>
          <w:rFonts w:ascii="Garamond" w:hAnsi="Garamond"/>
          <w:color w:val="000000"/>
          <w:sz w:val="22"/>
          <w:szCs w:val="22"/>
          <w:lang w:val="fr-FR"/>
        </w:rPr>
        <w:t xml:space="preserve"> Sommet ont été confortées</w:t>
      </w:r>
      <w:r w:rsidR="004E4678" w:rsidRPr="000234D2">
        <w:rPr>
          <w:rFonts w:ascii="Garamond" w:hAnsi="Garamond"/>
          <w:color w:val="000000"/>
          <w:sz w:val="22"/>
          <w:szCs w:val="22"/>
          <w:lang w:val="fr-FR"/>
        </w:rPr>
        <w:t>,</w:t>
      </w:r>
      <w:r w:rsidRPr="000234D2">
        <w:rPr>
          <w:rFonts w:ascii="Garamond" w:hAnsi="Garamond"/>
          <w:color w:val="000000"/>
          <w:sz w:val="22"/>
          <w:szCs w:val="22"/>
          <w:lang w:val="fr-FR"/>
        </w:rPr>
        <w:t xml:space="preserve"> une année plus tard, par la crise alimentaire et nutritionnelle mondiale de 2007/2008. Cette crise avait entrainé une flambée des prix des denrées de première nécessité, ce qui avait provoqué des émeutes de la faim dans plusieurs pays africains. La plupart des pays ont souhaité adopter des politiques agricoles visant le soutien à la production et à la productivité afin de prévenir les effets des crises alimentaires futures. </w:t>
      </w:r>
    </w:p>
    <w:p w14:paraId="04DCCCCE" w14:textId="7310A434" w:rsidR="00261FDE" w:rsidRPr="000234D2" w:rsidRDefault="00261FDE" w:rsidP="00170C87">
      <w:pPr>
        <w:pStyle w:val="MMNotes"/>
        <w:spacing w:after="120" w:line="240" w:lineRule="auto"/>
        <w:jc w:val="both"/>
        <w:rPr>
          <w:rFonts w:ascii="Garamond" w:hAnsi="Garamond"/>
          <w:color w:val="000000"/>
          <w:sz w:val="22"/>
          <w:szCs w:val="22"/>
          <w:lang w:val="fr-FR"/>
        </w:rPr>
      </w:pPr>
      <w:r w:rsidRPr="000234D2">
        <w:rPr>
          <w:rFonts w:ascii="Garamond" w:hAnsi="Garamond"/>
          <w:color w:val="000000"/>
          <w:sz w:val="22"/>
          <w:szCs w:val="22"/>
          <w:lang w:val="fr-FR"/>
        </w:rPr>
        <w:t>Face à la</w:t>
      </w:r>
      <w:r w:rsidR="00EE1D31" w:rsidRPr="000234D2">
        <w:rPr>
          <w:rFonts w:ascii="Garamond" w:hAnsi="Garamond"/>
          <w:color w:val="000000"/>
          <w:sz w:val="22"/>
          <w:szCs w:val="22"/>
          <w:lang w:val="fr-FR"/>
        </w:rPr>
        <w:t xml:space="preserve">dite </w:t>
      </w:r>
      <w:r w:rsidRPr="000234D2">
        <w:rPr>
          <w:rFonts w:ascii="Garamond" w:hAnsi="Garamond"/>
          <w:color w:val="000000"/>
          <w:sz w:val="22"/>
          <w:szCs w:val="22"/>
          <w:lang w:val="fr-FR"/>
        </w:rPr>
        <w:t xml:space="preserve">crise qui sévissait dans plusieurs pays du monde et en Afrique, la position des bailleurs de fonds a évolué sur la question de la subvention à l’Agriculture. </w:t>
      </w:r>
      <w:r w:rsidR="004E4678" w:rsidRPr="000234D2">
        <w:rPr>
          <w:rFonts w:ascii="Garamond" w:hAnsi="Garamond"/>
          <w:color w:val="000000"/>
          <w:sz w:val="22"/>
          <w:szCs w:val="22"/>
          <w:lang w:val="fr-FR"/>
        </w:rPr>
        <w:t>P</w:t>
      </w:r>
      <w:r w:rsidRPr="000234D2">
        <w:rPr>
          <w:rFonts w:ascii="Garamond" w:hAnsi="Garamond"/>
          <w:color w:val="000000"/>
          <w:sz w:val="22"/>
          <w:szCs w:val="22"/>
          <w:lang w:val="fr-FR"/>
        </w:rPr>
        <w:t xml:space="preserve">lusieurs gouvernements avaient commencé à initier des actions volontaristes pour contenir les effets néfastes de cette crise alimentaire sur les populations. C’est dans ce contexte que le Mali, à l’instar de nombreux pays africains a initié des stratégies de soutien à l’Agriculture pour </w:t>
      </w:r>
      <w:r w:rsidR="00D17447" w:rsidRPr="000234D2">
        <w:rPr>
          <w:rFonts w:ascii="Garamond" w:hAnsi="Garamond"/>
          <w:color w:val="000000"/>
          <w:sz w:val="22"/>
          <w:szCs w:val="22"/>
          <w:lang w:val="fr-FR"/>
        </w:rPr>
        <w:t>accroitre la production nationale</w:t>
      </w:r>
      <w:r w:rsidRPr="000234D2">
        <w:rPr>
          <w:rFonts w:ascii="Garamond" w:hAnsi="Garamond"/>
          <w:color w:val="000000"/>
          <w:sz w:val="22"/>
          <w:szCs w:val="22"/>
          <w:lang w:val="fr-FR"/>
        </w:rPr>
        <w:t xml:space="preserve">. A cet égard, il a mis en place, en 2008, une initiative volontariste appelée "initiative riz" pour diminuer le coût des intrants aux producteurs à travers la subvention des engrais et les semences pour </w:t>
      </w:r>
      <w:r w:rsidRPr="000234D2">
        <w:rPr>
          <w:rFonts w:ascii="Garamond" w:hAnsi="Garamond"/>
          <w:color w:val="000000"/>
          <w:sz w:val="22"/>
          <w:szCs w:val="22"/>
          <w:lang w:val="fr-FR"/>
        </w:rPr>
        <w:t xml:space="preserve">augmenter et améliorer significativement la production et la productivité. </w:t>
      </w:r>
    </w:p>
    <w:p w14:paraId="61D60FDA" w14:textId="3C12C5E7" w:rsidR="000234D2" w:rsidRPr="00414648" w:rsidRDefault="00261FDE" w:rsidP="00170C87">
      <w:pPr>
        <w:spacing w:after="60"/>
        <w:jc w:val="both"/>
        <w:rPr>
          <w:noProof/>
          <w:sz w:val="22"/>
          <w:szCs w:val="22"/>
          <w:lang w:val="fr-FR"/>
        </w:rPr>
      </w:pPr>
      <w:r w:rsidRPr="000234D2">
        <w:rPr>
          <w:rFonts w:ascii="Garamond" w:hAnsi="Garamond"/>
          <w:color w:val="000000"/>
          <w:sz w:val="22"/>
          <w:szCs w:val="22"/>
          <w:lang w:val="fr-FR"/>
        </w:rPr>
        <w:t xml:space="preserve">Depuis la mise en œuvre de l’Initiative riz en 2008, la subvention agricole a refait surface au Mali et sa pratique </w:t>
      </w:r>
      <w:r w:rsidR="006B3414" w:rsidRPr="000234D2">
        <w:rPr>
          <w:rFonts w:ascii="Garamond" w:hAnsi="Garamond"/>
          <w:color w:val="000000"/>
          <w:sz w:val="22"/>
          <w:szCs w:val="22"/>
          <w:lang w:val="fr-FR"/>
        </w:rPr>
        <w:t xml:space="preserve">s’est perpétuée avec le temps, devenant ainsi un des principaux leviers de financement de l’Agriculture. Elle s’est </w:t>
      </w:r>
      <w:r w:rsidRPr="000234D2">
        <w:rPr>
          <w:rFonts w:ascii="Garamond" w:hAnsi="Garamond"/>
          <w:color w:val="000000"/>
          <w:sz w:val="22"/>
          <w:szCs w:val="22"/>
          <w:lang w:val="fr-FR"/>
        </w:rPr>
        <w:t>institutionnalisée</w:t>
      </w:r>
      <w:r w:rsidR="006B3414" w:rsidRPr="000234D2">
        <w:rPr>
          <w:rFonts w:ascii="Garamond" w:hAnsi="Garamond"/>
          <w:color w:val="000000"/>
          <w:sz w:val="22"/>
          <w:szCs w:val="22"/>
          <w:lang w:val="fr-FR"/>
        </w:rPr>
        <w:t xml:space="preserve"> avec la création </w:t>
      </w:r>
      <w:r w:rsidR="006B3414" w:rsidRPr="000234D2">
        <w:rPr>
          <w:rFonts w:ascii="Garamond" w:hAnsi="Garamond"/>
          <w:sz w:val="22"/>
          <w:szCs w:val="22"/>
          <w:lang w:val="fr-FR"/>
        </w:rPr>
        <w:t xml:space="preserve">dans le budget de l’État </w:t>
      </w:r>
      <w:r w:rsidR="006B3414" w:rsidRPr="000234D2">
        <w:rPr>
          <w:rFonts w:ascii="Garamond" w:hAnsi="Garamond"/>
          <w:color w:val="000000"/>
          <w:sz w:val="22"/>
          <w:szCs w:val="22"/>
          <w:lang w:val="fr-FR"/>
        </w:rPr>
        <w:t>d’une ligne de</w:t>
      </w:r>
      <w:r w:rsidRPr="000234D2">
        <w:rPr>
          <w:rFonts w:ascii="Garamond" w:hAnsi="Garamond"/>
          <w:color w:val="000000"/>
          <w:sz w:val="22"/>
          <w:szCs w:val="22"/>
          <w:lang w:val="fr-FR"/>
        </w:rPr>
        <w:t xml:space="preserve"> </w:t>
      </w:r>
      <w:r w:rsidR="006B3414" w:rsidRPr="000234D2">
        <w:rPr>
          <w:rFonts w:ascii="Garamond" w:hAnsi="Garamond"/>
          <w:sz w:val="22"/>
          <w:szCs w:val="22"/>
          <w:lang w:val="fr-FR"/>
        </w:rPr>
        <w:t>crédit appelée « intrant agricole » pour la prise en charge de la subvention d’intrants agricoles</w:t>
      </w:r>
      <w:r w:rsidRPr="000234D2">
        <w:rPr>
          <w:rFonts w:ascii="Garamond" w:hAnsi="Garamond"/>
          <w:color w:val="000000"/>
          <w:sz w:val="22"/>
          <w:szCs w:val="22"/>
          <w:lang w:val="fr-FR"/>
        </w:rPr>
        <w:t>.</w:t>
      </w:r>
      <w:r w:rsidR="000234D2" w:rsidRPr="00414648">
        <w:rPr>
          <w:noProof/>
          <w:sz w:val="22"/>
          <w:szCs w:val="22"/>
          <w:lang w:val="fr-FR"/>
        </w:rPr>
        <w:t xml:space="preserve"> </w:t>
      </w:r>
    </w:p>
    <w:p w14:paraId="2E3DA491" w14:textId="352D89A3" w:rsidR="000234D2" w:rsidRPr="000234D2" w:rsidRDefault="000234D2" w:rsidP="00170C87">
      <w:pPr>
        <w:spacing w:after="60"/>
        <w:jc w:val="both"/>
        <w:rPr>
          <w:rFonts w:ascii="Garamond" w:hAnsi="Garamond"/>
          <w:color w:val="000000"/>
          <w:sz w:val="22"/>
          <w:szCs w:val="22"/>
          <w:lang w:val="fr-FR"/>
        </w:rPr>
      </w:pPr>
      <w:r w:rsidRPr="000234D2">
        <w:rPr>
          <w:noProof/>
          <w:sz w:val="22"/>
          <w:szCs w:val="22"/>
        </w:rPr>
        <w:drawing>
          <wp:inline distT="0" distB="0" distL="0" distR="0" wp14:anchorId="2F061173" wp14:editId="3E224245">
            <wp:extent cx="3143250" cy="1865376"/>
            <wp:effectExtent l="0" t="0" r="0" b="1905"/>
            <wp:docPr id="10" name="Chart 10" descr="Graphique 1:Évolution des subventions d’engrais de 2006 à 2018" title="Graphique 1:Évolution des subventions d’engrais de 2006 à 2018">
              <a:extLst xmlns:a="http://schemas.openxmlformats.org/drawingml/2006/main">
                <a:ext uri="{FF2B5EF4-FFF2-40B4-BE49-F238E27FC236}">
                  <a16:creationId xmlns:a16="http://schemas.microsoft.com/office/drawing/2014/main" id="{4D352A8C-4E2D-B64D-BEF6-FBDB6C6DB0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0F2CB0" w14:textId="1A8DBF3C" w:rsidR="000234D2" w:rsidRPr="000234D2" w:rsidRDefault="000234D2" w:rsidP="00170C87">
      <w:pPr>
        <w:jc w:val="both"/>
        <w:rPr>
          <w:rFonts w:ascii="Garamond" w:hAnsi="Garamond"/>
          <w:b/>
          <w:color w:val="000000"/>
          <w:sz w:val="22"/>
          <w:szCs w:val="22"/>
          <w:lang w:val="fr-FR"/>
        </w:rPr>
      </w:pPr>
      <w:r w:rsidRPr="000234D2">
        <w:rPr>
          <w:rFonts w:ascii="Garamond" w:hAnsi="Garamond"/>
          <w:b/>
          <w:color w:val="000000"/>
          <w:sz w:val="22"/>
          <w:szCs w:val="22"/>
          <w:lang w:val="fr-FR"/>
        </w:rPr>
        <w:t xml:space="preserve">Source </w:t>
      </w:r>
      <w:proofErr w:type="gramStart"/>
      <w:r w:rsidRPr="000234D2">
        <w:rPr>
          <w:rFonts w:ascii="Garamond" w:hAnsi="Garamond"/>
          <w:b/>
          <w:color w:val="000000"/>
          <w:sz w:val="22"/>
          <w:szCs w:val="22"/>
          <w:lang w:val="fr-FR"/>
        </w:rPr>
        <w:t>MA(</w:t>
      </w:r>
      <w:proofErr w:type="gramEnd"/>
      <w:r w:rsidRPr="000234D2">
        <w:rPr>
          <w:rFonts w:ascii="Garamond" w:hAnsi="Garamond"/>
          <w:b/>
          <w:color w:val="000000"/>
          <w:sz w:val="22"/>
          <w:szCs w:val="22"/>
          <w:lang w:val="fr-FR"/>
        </w:rPr>
        <w:t>2006 à 2018)</w:t>
      </w:r>
    </w:p>
    <w:p w14:paraId="4AEE2E59" w14:textId="19DAB9DA" w:rsidR="000234D2" w:rsidRPr="000234D2" w:rsidRDefault="000234D2" w:rsidP="00170C87">
      <w:pPr>
        <w:jc w:val="both"/>
        <w:rPr>
          <w:rFonts w:ascii="Garamond" w:hAnsi="Garamond"/>
          <w:b/>
          <w:color w:val="000000"/>
          <w:sz w:val="22"/>
          <w:szCs w:val="22"/>
          <w:lang w:val="fr-FR"/>
        </w:rPr>
      </w:pPr>
      <w:r w:rsidRPr="000234D2">
        <w:rPr>
          <w:rFonts w:ascii="Garamond" w:hAnsi="Garamond"/>
          <w:b/>
          <w:color w:val="000000"/>
          <w:sz w:val="22"/>
          <w:szCs w:val="22"/>
          <w:lang w:val="fr-FR"/>
        </w:rPr>
        <w:t>Graphique</w:t>
      </w:r>
      <w:r>
        <w:rPr>
          <w:rFonts w:ascii="Garamond" w:hAnsi="Garamond"/>
          <w:b/>
          <w:color w:val="000000"/>
          <w:sz w:val="22"/>
          <w:szCs w:val="22"/>
          <w:lang w:val="fr-FR"/>
        </w:rPr>
        <w:t xml:space="preserve"> </w:t>
      </w:r>
      <w:proofErr w:type="gramStart"/>
      <w:r w:rsidRPr="000234D2">
        <w:rPr>
          <w:rFonts w:ascii="Garamond" w:hAnsi="Garamond"/>
          <w:b/>
          <w:color w:val="000000"/>
          <w:sz w:val="22"/>
          <w:szCs w:val="22"/>
          <w:lang w:val="fr-FR"/>
        </w:rPr>
        <w:t>1:Évolution</w:t>
      </w:r>
      <w:proofErr w:type="gramEnd"/>
      <w:r w:rsidRPr="000234D2">
        <w:rPr>
          <w:rFonts w:ascii="Garamond" w:hAnsi="Garamond"/>
          <w:b/>
          <w:color w:val="000000"/>
          <w:sz w:val="22"/>
          <w:szCs w:val="22"/>
          <w:lang w:val="fr-FR"/>
        </w:rPr>
        <w:t xml:space="preserve"> des subventions d’engrais de 2006 à 2018</w:t>
      </w:r>
    </w:p>
    <w:p w14:paraId="406A582A" w14:textId="77777777" w:rsidR="00623BA0" w:rsidRDefault="00623BA0" w:rsidP="00170C87">
      <w:pPr>
        <w:spacing w:after="60"/>
        <w:jc w:val="both"/>
        <w:rPr>
          <w:rFonts w:ascii="Garamond" w:hAnsi="Garamond"/>
          <w:color w:val="000000"/>
          <w:sz w:val="22"/>
          <w:szCs w:val="22"/>
          <w:lang w:val="fr-FR"/>
        </w:rPr>
        <w:sectPr w:rsidR="00623BA0" w:rsidSect="003E64D9">
          <w:headerReference w:type="default" r:id="rId20"/>
          <w:endnotePr>
            <w:numFmt w:val="decimal"/>
          </w:endnotePr>
          <w:type w:val="continuous"/>
          <w:pgSz w:w="12240" w:h="15840"/>
          <w:pgMar w:top="1170" w:right="810" w:bottom="810" w:left="810" w:header="720" w:footer="0" w:gutter="0"/>
          <w:cols w:num="2" w:space="720"/>
          <w:docGrid w:linePitch="360"/>
        </w:sectPr>
      </w:pPr>
    </w:p>
    <w:p w14:paraId="129D3BED" w14:textId="32F6C82E" w:rsidR="000234D2" w:rsidRPr="000234D2" w:rsidRDefault="006B3414" w:rsidP="00170C87">
      <w:pPr>
        <w:spacing w:after="60"/>
        <w:jc w:val="both"/>
        <w:rPr>
          <w:rStyle w:val="BookTitle"/>
          <w:rFonts w:ascii="Garamond" w:hAnsi="Garamond"/>
          <w:b w:val="0"/>
          <w:bCs w:val="0"/>
          <w:i w:val="0"/>
          <w:iCs w:val="0"/>
          <w:color w:val="000000"/>
          <w:spacing w:val="0"/>
          <w:sz w:val="22"/>
          <w:szCs w:val="22"/>
          <w:lang w:val="fr-FR"/>
        </w:rPr>
      </w:pPr>
      <w:r w:rsidRPr="000234D2">
        <w:rPr>
          <w:rFonts w:ascii="Garamond" w:hAnsi="Garamond"/>
          <w:color w:val="000000"/>
          <w:sz w:val="22"/>
          <w:szCs w:val="22"/>
          <w:lang w:val="fr-FR"/>
        </w:rPr>
        <w:t xml:space="preserve">Son coût </w:t>
      </w:r>
      <w:r w:rsidR="00261FDE" w:rsidRPr="000234D2">
        <w:rPr>
          <w:rFonts w:ascii="Garamond" w:hAnsi="Garamond"/>
          <w:color w:val="000000"/>
          <w:sz w:val="22"/>
          <w:szCs w:val="22"/>
          <w:lang w:val="fr-FR"/>
        </w:rPr>
        <w:t>a connu une augmentation spectaculaire et sa part dans le budget de l’Agriculture n’a cessé de croîtr</w:t>
      </w:r>
      <w:r w:rsidRPr="000234D2">
        <w:rPr>
          <w:rFonts w:ascii="Garamond" w:hAnsi="Garamond"/>
          <w:color w:val="000000"/>
          <w:sz w:val="22"/>
          <w:szCs w:val="22"/>
          <w:lang w:val="fr-FR"/>
        </w:rPr>
        <w:t>e,</w:t>
      </w:r>
      <w:r w:rsidR="009374E5" w:rsidRPr="000234D2">
        <w:rPr>
          <w:rFonts w:ascii="Garamond" w:hAnsi="Garamond"/>
          <w:color w:val="000000"/>
          <w:sz w:val="22"/>
          <w:szCs w:val="22"/>
          <w:lang w:val="fr-FR"/>
        </w:rPr>
        <w:t xml:space="preserve"> pass</w:t>
      </w:r>
      <w:r w:rsidRPr="000234D2">
        <w:rPr>
          <w:rFonts w:ascii="Garamond" w:hAnsi="Garamond"/>
          <w:color w:val="000000"/>
          <w:sz w:val="22"/>
          <w:szCs w:val="22"/>
          <w:lang w:val="fr-FR"/>
        </w:rPr>
        <w:t>ant</w:t>
      </w:r>
      <w:r w:rsidR="009374E5" w:rsidRPr="000234D2">
        <w:rPr>
          <w:rFonts w:ascii="Garamond" w:hAnsi="Garamond"/>
          <w:color w:val="000000"/>
          <w:sz w:val="22"/>
          <w:szCs w:val="22"/>
          <w:lang w:val="fr-FR"/>
        </w:rPr>
        <w:t xml:space="preserve"> de 11à 36,7</w:t>
      </w:r>
      <w:r w:rsidR="005908B2" w:rsidRPr="000234D2">
        <w:rPr>
          <w:rFonts w:ascii="Garamond" w:hAnsi="Garamond"/>
          <w:color w:val="000000"/>
          <w:sz w:val="22"/>
          <w:szCs w:val="22"/>
          <w:lang w:val="fr-FR"/>
        </w:rPr>
        <w:t xml:space="preserve"> </w:t>
      </w:r>
      <w:r w:rsidR="009374E5" w:rsidRPr="000234D2">
        <w:rPr>
          <w:rFonts w:ascii="Garamond" w:hAnsi="Garamond"/>
          <w:color w:val="000000"/>
          <w:sz w:val="22"/>
          <w:szCs w:val="22"/>
          <w:lang w:val="fr-FR"/>
        </w:rPr>
        <w:t>milliards de FCFA entre 2008 et 2017, soit une augmentation de plus de 215%</w:t>
      </w:r>
      <w:r w:rsidRPr="000234D2">
        <w:rPr>
          <w:rFonts w:ascii="Garamond" w:hAnsi="Garamond"/>
          <w:color w:val="000000"/>
          <w:sz w:val="22"/>
          <w:szCs w:val="22"/>
          <w:lang w:val="fr-FR"/>
        </w:rPr>
        <w:t xml:space="preserve"> </w:t>
      </w:r>
      <w:r w:rsidR="009374E5" w:rsidRPr="000234D2">
        <w:rPr>
          <w:rFonts w:ascii="Garamond" w:hAnsi="Garamond"/>
          <w:color w:val="000000"/>
          <w:sz w:val="22"/>
          <w:szCs w:val="22"/>
          <w:lang w:val="fr-FR"/>
        </w:rPr>
        <w:t>(MA,</w:t>
      </w:r>
      <w:r w:rsidR="00EA5736" w:rsidRPr="000234D2">
        <w:rPr>
          <w:rFonts w:ascii="Garamond" w:hAnsi="Garamond"/>
          <w:color w:val="000000"/>
          <w:sz w:val="22"/>
          <w:szCs w:val="22"/>
          <w:lang w:val="fr-FR"/>
        </w:rPr>
        <w:t xml:space="preserve"> </w:t>
      </w:r>
      <w:r w:rsidR="009374E5" w:rsidRPr="000234D2">
        <w:rPr>
          <w:rFonts w:ascii="Garamond" w:hAnsi="Garamond"/>
          <w:color w:val="000000"/>
          <w:sz w:val="22"/>
          <w:szCs w:val="22"/>
          <w:lang w:val="fr-FR"/>
        </w:rPr>
        <w:t>20</w:t>
      </w:r>
      <w:r w:rsidR="00C3105F" w:rsidRPr="000234D2">
        <w:rPr>
          <w:rFonts w:ascii="Garamond" w:hAnsi="Garamond"/>
          <w:color w:val="000000"/>
          <w:sz w:val="22"/>
          <w:szCs w:val="22"/>
          <w:lang w:val="fr-FR"/>
        </w:rPr>
        <w:t>06</w:t>
      </w:r>
      <w:r w:rsidR="00EA5736" w:rsidRPr="000234D2">
        <w:rPr>
          <w:rFonts w:ascii="Garamond" w:hAnsi="Garamond"/>
          <w:color w:val="000000"/>
          <w:sz w:val="22"/>
          <w:szCs w:val="22"/>
          <w:lang w:val="fr-FR"/>
        </w:rPr>
        <w:t xml:space="preserve"> à 2018)</w:t>
      </w:r>
      <w:r w:rsidR="009374E5" w:rsidRPr="000234D2">
        <w:rPr>
          <w:rFonts w:ascii="Garamond" w:hAnsi="Garamond"/>
          <w:color w:val="000000"/>
          <w:sz w:val="22"/>
          <w:szCs w:val="22"/>
          <w:lang w:val="fr-FR"/>
        </w:rPr>
        <w:t>.</w:t>
      </w:r>
      <w:r w:rsidR="00C3105F" w:rsidRPr="000234D2">
        <w:rPr>
          <w:rFonts w:ascii="Garamond" w:hAnsi="Garamond"/>
          <w:color w:val="000000"/>
          <w:sz w:val="22"/>
          <w:szCs w:val="22"/>
          <w:lang w:val="fr-FR"/>
        </w:rPr>
        <w:t xml:space="preserve"> </w:t>
      </w:r>
    </w:p>
    <w:p w14:paraId="22510933" w14:textId="77777777" w:rsidR="000234D2" w:rsidRDefault="000234D2" w:rsidP="00170C87">
      <w:pPr>
        <w:tabs>
          <w:tab w:val="left" w:pos="1620"/>
        </w:tabs>
        <w:spacing w:after="120"/>
        <w:jc w:val="both"/>
        <w:rPr>
          <w:rFonts w:ascii="Garamond" w:hAnsi="Garamond"/>
          <w:b/>
          <w:sz w:val="22"/>
          <w:szCs w:val="22"/>
          <w:lang w:val="fr-FR"/>
        </w:rPr>
      </w:pPr>
    </w:p>
    <w:p w14:paraId="27A9AB7B" w14:textId="4C0CCE3E" w:rsidR="00920476" w:rsidRPr="000234D2" w:rsidRDefault="00920476" w:rsidP="00170C87">
      <w:pPr>
        <w:tabs>
          <w:tab w:val="left" w:pos="1620"/>
        </w:tabs>
        <w:spacing w:after="120"/>
        <w:jc w:val="both"/>
        <w:rPr>
          <w:rFonts w:ascii="Garamond" w:hAnsi="Garamond"/>
          <w:b/>
          <w:sz w:val="22"/>
          <w:szCs w:val="22"/>
          <w:lang w:val="fr-FR"/>
        </w:rPr>
      </w:pPr>
      <w:r w:rsidRPr="000234D2">
        <w:rPr>
          <w:rFonts w:ascii="Garamond" w:hAnsi="Garamond"/>
          <w:b/>
          <w:sz w:val="22"/>
          <w:szCs w:val="22"/>
          <w:lang w:val="fr-FR"/>
        </w:rPr>
        <w:t>Conclusions et recommandations</w:t>
      </w:r>
    </w:p>
    <w:p w14:paraId="2ABF6DEF" w14:textId="34D31EF7" w:rsidR="00910052" w:rsidRPr="000234D2" w:rsidRDefault="00D17447" w:rsidP="00170C87">
      <w:pPr>
        <w:jc w:val="both"/>
        <w:rPr>
          <w:rFonts w:ascii="Garamond" w:hAnsi="Garamond"/>
          <w:color w:val="000000"/>
          <w:sz w:val="22"/>
          <w:szCs w:val="22"/>
          <w:lang w:val="fr-FR"/>
        </w:rPr>
      </w:pPr>
      <w:r w:rsidRPr="000234D2">
        <w:rPr>
          <w:rFonts w:ascii="Garamond" w:hAnsi="Garamond"/>
          <w:color w:val="000000"/>
          <w:sz w:val="22"/>
          <w:szCs w:val="22"/>
          <w:lang w:val="fr-FR"/>
        </w:rPr>
        <w:t xml:space="preserve">Au Mali, la subvention </w:t>
      </w:r>
      <w:r w:rsidR="00EE1D31" w:rsidRPr="000234D2">
        <w:rPr>
          <w:rFonts w:ascii="Garamond" w:hAnsi="Garamond"/>
          <w:color w:val="000000"/>
          <w:sz w:val="22"/>
          <w:szCs w:val="22"/>
          <w:lang w:val="fr-FR"/>
        </w:rPr>
        <w:t>d</w:t>
      </w:r>
      <w:r w:rsidR="00976C32" w:rsidRPr="000234D2">
        <w:rPr>
          <w:rFonts w:ascii="Garamond" w:hAnsi="Garamond"/>
          <w:color w:val="000000"/>
          <w:sz w:val="22"/>
          <w:szCs w:val="22"/>
          <w:lang w:val="fr-FR"/>
        </w:rPr>
        <w:t xml:space="preserve">es </w:t>
      </w:r>
      <w:r w:rsidR="00EE1D31" w:rsidRPr="000234D2">
        <w:rPr>
          <w:rFonts w:ascii="Garamond" w:hAnsi="Garamond"/>
          <w:color w:val="000000"/>
          <w:sz w:val="22"/>
          <w:szCs w:val="22"/>
          <w:lang w:val="fr-FR"/>
        </w:rPr>
        <w:t>engrais</w:t>
      </w:r>
      <w:r w:rsidRPr="000234D2">
        <w:rPr>
          <w:rFonts w:ascii="Garamond" w:hAnsi="Garamond"/>
          <w:color w:val="000000"/>
          <w:sz w:val="22"/>
          <w:szCs w:val="22"/>
          <w:lang w:val="fr-FR"/>
        </w:rPr>
        <w:t xml:space="preserve"> tire ses origines d</w:t>
      </w:r>
      <w:r w:rsidR="00976C32" w:rsidRPr="000234D2">
        <w:rPr>
          <w:rFonts w:ascii="Garamond" w:hAnsi="Garamond"/>
          <w:color w:val="000000"/>
          <w:sz w:val="22"/>
          <w:szCs w:val="22"/>
          <w:lang w:val="fr-FR"/>
        </w:rPr>
        <w:t xml:space="preserve">es stratégies de </w:t>
      </w:r>
      <w:proofErr w:type="spellStart"/>
      <w:r w:rsidR="00976C32" w:rsidRPr="000234D2">
        <w:rPr>
          <w:rFonts w:ascii="Garamond" w:hAnsi="Garamond"/>
          <w:color w:val="000000"/>
          <w:sz w:val="22"/>
          <w:szCs w:val="22"/>
          <w:lang w:val="fr-FR"/>
        </w:rPr>
        <w:t>developpement</w:t>
      </w:r>
      <w:proofErr w:type="spellEnd"/>
      <w:r w:rsidR="00976C32" w:rsidRPr="000234D2">
        <w:rPr>
          <w:rFonts w:ascii="Garamond" w:hAnsi="Garamond"/>
          <w:color w:val="000000"/>
          <w:sz w:val="22"/>
          <w:szCs w:val="22"/>
          <w:lang w:val="fr-FR"/>
        </w:rPr>
        <w:t xml:space="preserve"> mises en œuvre durant les premières </w:t>
      </w:r>
      <w:r w:rsidRPr="000234D2">
        <w:rPr>
          <w:rFonts w:ascii="Garamond" w:hAnsi="Garamond"/>
          <w:color w:val="000000"/>
          <w:sz w:val="22"/>
          <w:szCs w:val="22"/>
          <w:lang w:val="fr-FR"/>
        </w:rPr>
        <w:t>années de l’indépendance</w:t>
      </w:r>
      <w:r w:rsidR="00976C32" w:rsidRPr="000234D2">
        <w:rPr>
          <w:rFonts w:ascii="Garamond" w:hAnsi="Garamond"/>
          <w:color w:val="000000"/>
          <w:sz w:val="22"/>
          <w:szCs w:val="22"/>
          <w:lang w:val="fr-FR"/>
        </w:rPr>
        <w:t xml:space="preserve"> en 1960</w:t>
      </w:r>
      <w:r w:rsidRPr="000234D2">
        <w:rPr>
          <w:rFonts w:ascii="Garamond" w:hAnsi="Garamond"/>
          <w:color w:val="000000"/>
          <w:sz w:val="22"/>
          <w:szCs w:val="22"/>
          <w:lang w:val="fr-FR"/>
        </w:rPr>
        <w:t xml:space="preserve">. </w:t>
      </w:r>
      <w:r w:rsidR="002E79CD" w:rsidRPr="000234D2">
        <w:rPr>
          <w:rFonts w:ascii="Garamond" w:hAnsi="Garamond"/>
          <w:color w:val="000000"/>
          <w:sz w:val="22"/>
          <w:szCs w:val="22"/>
          <w:lang w:val="fr-FR"/>
        </w:rPr>
        <w:t xml:space="preserve">Le recours à la subvention des engrais </w:t>
      </w:r>
      <w:r w:rsidR="00805F95" w:rsidRPr="000234D2">
        <w:rPr>
          <w:rFonts w:ascii="Garamond" w:hAnsi="Garamond"/>
          <w:color w:val="000000"/>
          <w:sz w:val="22"/>
          <w:szCs w:val="22"/>
          <w:lang w:val="fr-FR"/>
        </w:rPr>
        <w:t xml:space="preserve">pour financer l’Agriculture </w:t>
      </w:r>
      <w:r w:rsidR="002E79CD" w:rsidRPr="000234D2">
        <w:rPr>
          <w:rFonts w:ascii="Garamond" w:hAnsi="Garamond"/>
          <w:color w:val="000000"/>
          <w:sz w:val="22"/>
          <w:szCs w:val="22"/>
          <w:lang w:val="fr-FR"/>
        </w:rPr>
        <w:t xml:space="preserve">s’est perpétué </w:t>
      </w:r>
      <w:r w:rsidR="00805F95" w:rsidRPr="000234D2">
        <w:rPr>
          <w:rFonts w:ascii="Garamond" w:hAnsi="Garamond"/>
          <w:color w:val="000000"/>
          <w:sz w:val="22"/>
          <w:szCs w:val="22"/>
          <w:lang w:val="fr-FR"/>
        </w:rPr>
        <w:t>avec le temps</w:t>
      </w:r>
      <w:r w:rsidR="002E79CD" w:rsidRPr="000234D2">
        <w:rPr>
          <w:rFonts w:ascii="Garamond" w:hAnsi="Garamond"/>
          <w:color w:val="000000"/>
          <w:sz w:val="22"/>
          <w:szCs w:val="22"/>
          <w:lang w:val="fr-FR"/>
        </w:rPr>
        <w:t>, m</w:t>
      </w:r>
      <w:r w:rsidR="00770A76" w:rsidRPr="000234D2">
        <w:rPr>
          <w:rFonts w:ascii="Garamond" w:hAnsi="Garamond"/>
          <w:color w:val="000000"/>
          <w:sz w:val="22"/>
          <w:szCs w:val="22"/>
          <w:lang w:val="fr-FR"/>
        </w:rPr>
        <w:t>a</w:t>
      </w:r>
      <w:r w:rsidR="004A3FFF" w:rsidRPr="000234D2">
        <w:rPr>
          <w:rFonts w:ascii="Garamond" w:hAnsi="Garamond"/>
          <w:color w:val="000000"/>
          <w:sz w:val="22"/>
          <w:szCs w:val="22"/>
          <w:lang w:val="fr-FR"/>
        </w:rPr>
        <w:t xml:space="preserve">lgré </w:t>
      </w:r>
      <w:r w:rsidR="00E6517A" w:rsidRPr="000234D2">
        <w:rPr>
          <w:rFonts w:ascii="Garamond" w:hAnsi="Garamond"/>
          <w:color w:val="000000"/>
          <w:sz w:val="22"/>
          <w:szCs w:val="22"/>
          <w:lang w:val="fr-FR"/>
        </w:rPr>
        <w:t>toutes les tentative</w:t>
      </w:r>
      <w:r w:rsidR="002E79CD" w:rsidRPr="000234D2">
        <w:rPr>
          <w:rFonts w:ascii="Garamond" w:hAnsi="Garamond"/>
          <w:color w:val="000000"/>
          <w:sz w:val="22"/>
          <w:szCs w:val="22"/>
          <w:lang w:val="fr-FR"/>
        </w:rPr>
        <w:t>s</w:t>
      </w:r>
      <w:r w:rsidR="00E6517A" w:rsidRPr="000234D2">
        <w:rPr>
          <w:rFonts w:ascii="Garamond" w:hAnsi="Garamond"/>
          <w:color w:val="000000"/>
          <w:sz w:val="22"/>
          <w:szCs w:val="22"/>
          <w:lang w:val="fr-FR"/>
        </w:rPr>
        <w:t xml:space="preserve"> de </w:t>
      </w:r>
      <w:r w:rsidR="002E79CD" w:rsidRPr="000234D2">
        <w:rPr>
          <w:rFonts w:ascii="Garamond" w:hAnsi="Garamond"/>
          <w:color w:val="000000"/>
          <w:sz w:val="22"/>
          <w:szCs w:val="22"/>
          <w:lang w:val="fr-FR"/>
        </w:rPr>
        <w:t>son</w:t>
      </w:r>
      <w:r w:rsidR="00E6517A" w:rsidRPr="000234D2">
        <w:rPr>
          <w:rFonts w:ascii="Garamond" w:hAnsi="Garamond"/>
          <w:color w:val="000000"/>
          <w:sz w:val="22"/>
          <w:szCs w:val="22"/>
          <w:lang w:val="fr-FR"/>
        </w:rPr>
        <w:t xml:space="preserve"> élimination dans le cadre de l’ajustement structurel et la libéralisation de l’économie</w:t>
      </w:r>
      <w:r w:rsidR="002E79CD" w:rsidRPr="000234D2">
        <w:rPr>
          <w:rFonts w:ascii="Garamond" w:hAnsi="Garamond"/>
          <w:color w:val="000000"/>
          <w:sz w:val="22"/>
          <w:szCs w:val="22"/>
          <w:lang w:val="fr-FR"/>
        </w:rPr>
        <w:t>.</w:t>
      </w:r>
      <w:r w:rsidR="00E6517A" w:rsidRPr="000234D2">
        <w:rPr>
          <w:rFonts w:ascii="Garamond" w:hAnsi="Garamond"/>
          <w:color w:val="000000"/>
          <w:sz w:val="22"/>
          <w:szCs w:val="22"/>
          <w:lang w:val="fr-FR"/>
        </w:rPr>
        <w:t xml:space="preserve"> </w:t>
      </w:r>
      <w:r w:rsidR="002E79CD" w:rsidRPr="000234D2">
        <w:rPr>
          <w:rFonts w:ascii="Garamond" w:hAnsi="Garamond"/>
          <w:color w:val="000000"/>
          <w:sz w:val="22"/>
          <w:szCs w:val="22"/>
          <w:lang w:val="fr-FR"/>
        </w:rPr>
        <w:t>Au contraire, à la faveur de la crise alimentaire et nutritionnelle mondiale de 2007, la subvention d</w:t>
      </w:r>
      <w:r w:rsidR="00805F95" w:rsidRPr="000234D2">
        <w:rPr>
          <w:rFonts w:ascii="Garamond" w:hAnsi="Garamond"/>
          <w:color w:val="000000"/>
          <w:sz w:val="22"/>
          <w:szCs w:val="22"/>
          <w:lang w:val="fr-FR"/>
        </w:rPr>
        <w:t xml:space="preserve">es </w:t>
      </w:r>
      <w:r w:rsidR="002E79CD" w:rsidRPr="000234D2">
        <w:rPr>
          <w:rFonts w:ascii="Garamond" w:hAnsi="Garamond"/>
          <w:color w:val="000000"/>
          <w:sz w:val="22"/>
          <w:szCs w:val="22"/>
          <w:lang w:val="fr-FR"/>
        </w:rPr>
        <w:t xml:space="preserve">engrais a été </w:t>
      </w:r>
      <w:r w:rsidR="00E6517A" w:rsidRPr="000234D2">
        <w:rPr>
          <w:rFonts w:ascii="Garamond" w:hAnsi="Garamond"/>
          <w:color w:val="000000"/>
          <w:sz w:val="22"/>
          <w:szCs w:val="22"/>
          <w:lang w:val="fr-FR"/>
        </w:rPr>
        <w:t>réhabilitée</w:t>
      </w:r>
      <w:r w:rsidR="005838F0" w:rsidRPr="000234D2">
        <w:rPr>
          <w:rFonts w:ascii="Garamond" w:hAnsi="Garamond"/>
          <w:color w:val="000000"/>
          <w:sz w:val="22"/>
          <w:szCs w:val="22"/>
          <w:lang w:val="fr-FR"/>
        </w:rPr>
        <w:t xml:space="preserve"> puis remise en selle</w:t>
      </w:r>
      <w:r w:rsidR="00261FDE" w:rsidRPr="000234D2">
        <w:rPr>
          <w:rFonts w:ascii="Garamond" w:hAnsi="Garamond"/>
          <w:color w:val="000000"/>
          <w:sz w:val="22"/>
          <w:szCs w:val="22"/>
          <w:lang w:val="fr-FR"/>
        </w:rPr>
        <w:t>.</w:t>
      </w:r>
      <w:r w:rsidR="00151C0C" w:rsidRPr="000234D2">
        <w:rPr>
          <w:rFonts w:ascii="Garamond" w:hAnsi="Garamond"/>
          <w:color w:val="000000"/>
          <w:sz w:val="22"/>
          <w:szCs w:val="22"/>
          <w:lang w:val="fr-FR"/>
        </w:rPr>
        <w:t xml:space="preserve"> </w:t>
      </w:r>
      <w:r w:rsidR="00C3105F" w:rsidRPr="000234D2">
        <w:rPr>
          <w:rFonts w:ascii="Garamond" w:hAnsi="Garamond"/>
          <w:color w:val="000000"/>
          <w:sz w:val="22"/>
          <w:szCs w:val="22"/>
          <w:lang w:val="fr-FR"/>
        </w:rPr>
        <w:t>Mai</w:t>
      </w:r>
      <w:r w:rsidR="00970C72" w:rsidRPr="000234D2">
        <w:rPr>
          <w:rFonts w:ascii="Garamond" w:hAnsi="Garamond"/>
          <w:color w:val="000000"/>
          <w:sz w:val="22"/>
          <w:szCs w:val="22"/>
          <w:lang w:val="fr-FR"/>
        </w:rPr>
        <w:t>s</w:t>
      </w:r>
      <w:r w:rsidR="00C3105F" w:rsidRPr="000234D2">
        <w:rPr>
          <w:rFonts w:ascii="Garamond" w:hAnsi="Garamond"/>
          <w:color w:val="000000"/>
          <w:sz w:val="22"/>
          <w:szCs w:val="22"/>
          <w:lang w:val="fr-FR"/>
        </w:rPr>
        <w:t>,</w:t>
      </w:r>
      <w:r w:rsidR="00970C72" w:rsidRPr="000234D2">
        <w:rPr>
          <w:rFonts w:ascii="Garamond" w:hAnsi="Garamond"/>
          <w:color w:val="000000"/>
          <w:sz w:val="22"/>
          <w:szCs w:val="22"/>
          <w:lang w:val="fr-FR"/>
        </w:rPr>
        <w:t xml:space="preserve"> </w:t>
      </w:r>
      <w:r w:rsidR="00D66392" w:rsidRPr="000234D2">
        <w:rPr>
          <w:rFonts w:ascii="Garamond" w:hAnsi="Garamond"/>
          <w:color w:val="000000"/>
          <w:sz w:val="22"/>
          <w:szCs w:val="22"/>
          <w:lang w:val="fr-FR"/>
        </w:rPr>
        <w:t xml:space="preserve">force est de reconnaître </w:t>
      </w:r>
      <w:r w:rsidR="00391A82" w:rsidRPr="000234D2">
        <w:rPr>
          <w:rFonts w:ascii="Garamond" w:hAnsi="Garamond"/>
          <w:color w:val="000000"/>
          <w:sz w:val="22"/>
          <w:szCs w:val="22"/>
          <w:lang w:val="fr-FR"/>
        </w:rPr>
        <w:t>que l</w:t>
      </w:r>
      <w:r w:rsidR="008C2D32" w:rsidRPr="000234D2">
        <w:rPr>
          <w:rFonts w:ascii="Garamond" w:hAnsi="Garamond"/>
          <w:color w:val="000000"/>
          <w:sz w:val="22"/>
          <w:szCs w:val="22"/>
          <w:lang w:val="fr-FR"/>
        </w:rPr>
        <w:t>a traçabilité et la transparence sont au cœur des</w:t>
      </w:r>
      <w:r w:rsidR="00200A58" w:rsidRPr="000234D2">
        <w:rPr>
          <w:rFonts w:ascii="Garamond" w:hAnsi="Garamond"/>
          <w:color w:val="000000"/>
          <w:sz w:val="22"/>
          <w:szCs w:val="22"/>
          <w:lang w:val="fr-FR"/>
        </w:rPr>
        <w:t xml:space="preserve"> nouveaux</w:t>
      </w:r>
      <w:r w:rsidR="00970C72" w:rsidRPr="000234D2">
        <w:rPr>
          <w:rFonts w:ascii="Garamond" w:hAnsi="Garamond"/>
          <w:color w:val="000000"/>
          <w:sz w:val="22"/>
          <w:szCs w:val="22"/>
          <w:lang w:val="fr-FR"/>
        </w:rPr>
        <w:t xml:space="preserve"> </w:t>
      </w:r>
      <w:r w:rsidR="00C3105F" w:rsidRPr="000234D2">
        <w:rPr>
          <w:rFonts w:ascii="Garamond" w:hAnsi="Garamond"/>
          <w:color w:val="000000"/>
          <w:sz w:val="22"/>
          <w:szCs w:val="22"/>
          <w:lang w:val="fr-FR"/>
        </w:rPr>
        <w:t>programmes</w:t>
      </w:r>
      <w:r w:rsidR="00970C72" w:rsidRPr="000234D2">
        <w:rPr>
          <w:rFonts w:ascii="Garamond" w:hAnsi="Garamond"/>
          <w:color w:val="000000"/>
          <w:sz w:val="22"/>
          <w:szCs w:val="22"/>
          <w:lang w:val="fr-FR"/>
        </w:rPr>
        <w:t xml:space="preserve"> </w:t>
      </w:r>
      <w:r w:rsidR="001535C0" w:rsidRPr="000234D2">
        <w:rPr>
          <w:rFonts w:ascii="Garamond" w:hAnsi="Garamond"/>
          <w:color w:val="000000"/>
          <w:sz w:val="22"/>
          <w:szCs w:val="22"/>
          <w:lang w:val="fr-FR"/>
        </w:rPr>
        <w:t xml:space="preserve">de subvention </w:t>
      </w:r>
      <w:r w:rsidR="00EE1D31" w:rsidRPr="000234D2">
        <w:rPr>
          <w:rFonts w:ascii="Garamond" w:hAnsi="Garamond"/>
          <w:color w:val="000000"/>
          <w:sz w:val="22"/>
          <w:szCs w:val="22"/>
          <w:lang w:val="fr-FR"/>
        </w:rPr>
        <w:t xml:space="preserve">d’engrais </w:t>
      </w:r>
      <w:r w:rsidR="00151C0C" w:rsidRPr="000234D2">
        <w:rPr>
          <w:rFonts w:ascii="Garamond" w:hAnsi="Garamond"/>
          <w:color w:val="000000"/>
          <w:sz w:val="22"/>
          <w:szCs w:val="22"/>
          <w:lang w:val="fr-FR"/>
        </w:rPr>
        <w:t xml:space="preserve">basés sur l’octroi de </w:t>
      </w:r>
      <w:r w:rsidR="00200A58" w:rsidRPr="000234D2">
        <w:rPr>
          <w:rFonts w:ascii="Garamond" w:hAnsi="Garamond"/>
          <w:color w:val="000000"/>
          <w:sz w:val="22"/>
          <w:szCs w:val="22"/>
          <w:lang w:val="fr-FR"/>
        </w:rPr>
        <w:t>caution</w:t>
      </w:r>
      <w:r w:rsidR="00966FB8" w:rsidRPr="000234D2">
        <w:rPr>
          <w:rFonts w:ascii="Garamond" w:hAnsi="Garamond"/>
          <w:color w:val="000000"/>
          <w:sz w:val="22"/>
          <w:szCs w:val="22"/>
          <w:lang w:val="fr-FR"/>
        </w:rPr>
        <w:t>s</w:t>
      </w:r>
      <w:r w:rsidR="00200A58" w:rsidRPr="000234D2">
        <w:rPr>
          <w:rFonts w:ascii="Garamond" w:hAnsi="Garamond"/>
          <w:color w:val="000000"/>
          <w:sz w:val="22"/>
          <w:szCs w:val="22"/>
          <w:lang w:val="fr-FR"/>
        </w:rPr>
        <w:t xml:space="preserve"> technique et électronique</w:t>
      </w:r>
      <w:r w:rsidR="008C2D32" w:rsidRPr="000234D2">
        <w:rPr>
          <w:rFonts w:ascii="Garamond" w:hAnsi="Garamond"/>
          <w:color w:val="000000"/>
          <w:sz w:val="22"/>
          <w:szCs w:val="22"/>
          <w:lang w:val="fr-FR"/>
        </w:rPr>
        <w:t>.</w:t>
      </w:r>
      <w:r w:rsidR="00200A58" w:rsidRPr="000234D2">
        <w:rPr>
          <w:rFonts w:ascii="Garamond" w:hAnsi="Garamond"/>
          <w:color w:val="000000"/>
          <w:sz w:val="22"/>
          <w:szCs w:val="22"/>
          <w:lang w:val="fr-FR"/>
        </w:rPr>
        <w:t xml:space="preserve"> Toutefois, le coût de ces programmes de subvention des engrais est </w:t>
      </w:r>
      <w:r w:rsidR="00391A82" w:rsidRPr="000234D2">
        <w:rPr>
          <w:rFonts w:ascii="Garamond" w:hAnsi="Garamond"/>
          <w:color w:val="000000"/>
          <w:sz w:val="22"/>
          <w:szCs w:val="22"/>
          <w:lang w:val="fr-FR"/>
        </w:rPr>
        <w:t xml:space="preserve">jugé </w:t>
      </w:r>
      <w:r w:rsidR="00200A58" w:rsidRPr="000234D2">
        <w:rPr>
          <w:rFonts w:ascii="Garamond" w:hAnsi="Garamond"/>
          <w:color w:val="000000"/>
          <w:sz w:val="22"/>
          <w:szCs w:val="22"/>
          <w:lang w:val="fr-FR"/>
        </w:rPr>
        <w:t>élevé et le</w:t>
      </w:r>
      <w:r w:rsidR="002C0047" w:rsidRPr="000234D2">
        <w:rPr>
          <w:rFonts w:ascii="Garamond" w:hAnsi="Garamond"/>
          <w:color w:val="000000"/>
          <w:sz w:val="22"/>
          <w:szCs w:val="22"/>
          <w:lang w:val="fr-FR"/>
        </w:rPr>
        <w:t>ur</w:t>
      </w:r>
      <w:r w:rsidR="00200A58" w:rsidRPr="000234D2">
        <w:rPr>
          <w:rFonts w:ascii="Garamond" w:hAnsi="Garamond"/>
          <w:color w:val="000000"/>
          <w:sz w:val="22"/>
          <w:szCs w:val="22"/>
          <w:lang w:val="fr-FR"/>
        </w:rPr>
        <w:t xml:space="preserve"> impact sur les populations bénéficiaires mitigé. D’où la nécessité de réconcilier </w:t>
      </w:r>
      <w:r w:rsidR="00970C72" w:rsidRPr="000234D2">
        <w:rPr>
          <w:rFonts w:ascii="Garamond" w:hAnsi="Garamond"/>
          <w:color w:val="000000"/>
          <w:sz w:val="22"/>
          <w:szCs w:val="22"/>
          <w:lang w:val="fr-FR"/>
        </w:rPr>
        <w:t>l</w:t>
      </w:r>
      <w:r w:rsidR="00545F98" w:rsidRPr="000234D2">
        <w:rPr>
          <w:rFonts w:ascii="Garamond" w:hAnsi="Garamond"/>
          <w:color w:val="000000"/>
          <w:sz w:val="22"/>
          <w:szCs w:val="22"/>
          <w:lang w:val="fr-FR"/>
        </w:rPr>
        <w:t>es</w:t>
      </w:r>
      <w:r w:rsidR="00970C72" w:rsidRPr="000234D2">
        <w:rPr>
          <w:rFonts w:ascii="Garamond" w:hAnsi="Garamond"/>
          <w:color w:val="000000"/>
          <w:sz w:val="22"/>
          <w:szCs w:val="22"/>
          <w:lang w:val="fr-FR"/>
        </w:rPr>
        <w:t xml:space="preserve"> subvention</w:t>
      </w:r>
      <w:r w:rsidR="00545F98" w:rsidRPr="000234D2">
        <w:rPr>
          <w:rFonts w:ascii="Garamond" w:hAnsi="Garamond"/>
          <w:color w:val="000000"/>
          <w:sz w:val="22"/>
          <w:szCs w:val="22"/>
          <w:lang w:val="fr-FR"/>
        </w:rPr>
        <w:t xml:space="preserve">s d’engrais </w:t>
      </w:r>
      <w:r w:rsidR="00200A58" w:rsidRPr="000234D2">
        <w:rPr>
          <w:rFonts w:ascii="Garamond" w:hAnsi="Garamond"/>
          <w:color w:val="000000"/>
          <w:sz w:val="22"/>
          <w:szCs w:val="22"/>
          <w:lang w:val="fr-FR"/>
        </w:rPr>
        <w:t>avec les besoins d’investissement durables de l’agriculture, notamment les investissements publics (recherche, vulgarisation, infrastructures d’irrigation, etc.).</w:t>
      </w:r>
      <w:bookmarkStart w:id="1" w:name="_Toc6485047"/>
    </w:p>
    <w:p w14:paraId="6096C590" w14:textId="77777777" w:rsidR="000234D2" w:rsidRDefault="000234D2">
      <w:pPr>
        <w:spacing w:after="160" w:line="259" w:lineRule="auto"/>
        <w:rPr>
          <w:rStyle w:val="BookTitle"/>
          <w:rFonts w:ascii="Garamond" w:hAnsi="Garamond"/>
          <w:i w:val="0"/>
          <w:color w:val="000000" w:themeColor="text1"/>
          <w:sz w:val="21"/>
          <w:szCs w:val="21"/>
          <w:lang w:val="fr-FR"/>
        </w:rPr>
      </w:pPr>
      <w:r>
        <w:rPr>
          <w:rStyle w:val="BookTitle"/>
          <w:rFonts w:ascii="Garamond" w:hAnsi="Garamond"/>
          <w:i w:val="0"/>
          <w:color w:val="000000" w:themeColor="text1"/>
          <w:sz w:val="21"/>
          <w:szCs w:val="21"/>
          <w:lang w:val="fr-FR"/>
        </w:rPr>
        <w:br w:type="page"/>
      </w:r>
    </w:p>
    <w:p w14:paraId="7A2876AB" w14:textId="4CDD4B18" w:rsidR="006C4840" w:rsidRPr="00411BEA" w:rsidRDefault="006C4840" w:rsidP="00910052">
      <w:pPr>
        <w:spacing w:line="276" w:lineRule="auto"/>
        <w:jc w:val="both"/>
        <w:rPr>
          <w:rFonts w:ascii="Garamond" w:hAnsi="Garamond"/>
          <w:color w:val="000000"/>
          <w:sz w:val="22"/>
          <w:szCs w:val="22"/>
          <w:lang w:val="fr-FR"/>
        </w:rPr>
      </w:pPr>
      <w:r w:rsidRPr="00411BEA">
        <w:rPr>
          <w:rStyle w:val="BookTitle"/>
          <w:rFonts w:ascii="Garamond" w:hAnsi="Garamond"/>
          <w:i w:val="0"/>
          <w:color w:val="000000" w:themeColor="text1"/>
          <w:sz w:val="22"/>
          <w:szCs w:val="22"/>
          <w:lang w:val="fr-FR"/>
        </w:rPr>
        <w:lastRenderedPageBreak/>
        <w:t>Références</w:t>
      </w:r>
      <w:bookmarkEnd w:id="1"/>
      <w:r w:rsidRPr="00411BEA">
        <w:rPr>
          <w:rStyle w:val="BookTitle"/>
          <w:rFonts w:ascii="Garamond" w:hAnsi="Garamond"/>
          <w:i w:val="0"/>
          <w:color w:val="000000" w:themeColor="text1"/>
          <w:sz w:val="22"/>
          <w:szCs w:val="22"/>
          <w:lang w:val="fr-FR"/>
        </w:rPr>
        <w:t xml:space="preserve"> </w:t>
      </w:r>
    </w:p>
    <w:p w14:paraId="73982185" w14:textId="475DE78A" w:rsidR="005737BE" w:rsidRPr="00623BA0" w:rsidRDefault="006C4840" w:rsidP="00145FF5">
      <w:pPr>
        <w:spacing w:after="120" w:line="276" w:lineRule="auto"/>
        <w:jc w:val="both"/>
        <w:rPr>
          <w:rFonts w:ascii="Garamond" w:eastAsiaTheme="minorEastAsia" w:hAnsi="Garamond"/>
          <w:sz w:val="22"/>
          <w:szCs w:val="22"/>
          <w:lang w:val="fr-FR" w:eastAsia="fr-FR"/>
        </w:rPr>
      </w:pPr>
      <w:r w:rsidRPr="00411BEA">
        <w:rPr>
          <w:rFonts w:ascii="Garamond" w:eastAsiaTheme="minorEastAsia" w:hAnsi="Garamond"/>
          <w:sz w:val="22"/>
          <w:szCs w:val="22"/>
          <w:lang w:val="fr-FR" w:eastAsia="fr-FR"/>
        </w:rPr>
        <w:t>AGRA,</w:t>
      </w:r>
      <w:r w:rsidR="00F57AAC" w:rsidRPr="00411BEA">
        <w:rPr>
          <w:rFonts w:ascii="Garamond" w:eastAsiaTheme="minorEastAsia" w:hAnsi="Garamond"/>
          <w:sz w:val="22"/>
          <w:szCs w:val="22"/>
          <w:lang w:val="fr-FR" w:eastAsia="fr-FR"/>
        </w:rPr>
        <w:t xml:space="preserve"> </w:t>
      </w:r>
      <w:r w:rsidRPr="00411BEA">
        <w:rPr>
          <w:rFonts w:ascii="Garamond" w:eastAsiaTheme="minorEastAsia" w:hAnsi="Garamond"/>
          <w:sz w:val="22"/>
          <w:szCs w:val="22"/>
          <w:lang w:val="fr-FR" w:eastAsia="fr-FR"/>
        </w:rPr>
        <w:t>2018. Présentation au GT-</w:t>
      </w:r>
      <w:proofErr w:type="spellStart"/>
      <w:r w:rsidRPr="00411BEA">
        <w:rPr>
          <w:rFonts w:ascii="Garamond" w:eastAsiaTheme="minorEastAsia" w:hAnsi="Garamond"/>
          <w:sz w:val="22"/>
          <w:szCs w:val="22"/>
          <w:lang w:val="fr-FR" w:eastAsia="fr-FR"/>
        </w:rPr>
        <w:t>EAR</w:t>
      </w:r>
      <w:proofErr w:type="spellEnd"/>
      <w:r w:rsidRPr="00411BEA">
        <w:rPr>
          <w:rFonts w:ascii="Garamond" w:eastAsiaTheme="minorEastAsia" w:hAnsi="Garamond"/>
          <w:sz w:val="22"/>
          <w:szCs w:val="22"/>
          <w:lang w:val="fr-FR" w:eastAsia="fr-FR"/>
        </w:rPr>
        <w:t xml:space="preserve">. Revue du Programme de Subvention des Intrants Agricoles au Mali: </w:t>
      </w:r>
      <w:r w:rsidRPr="00623BA0">
        <w:rPr>
          <w:rFonts w:ascii="Garamond" w:eastAsiaTheme="minorEastAsia" w:hAnsi="Garamond"/>
          <w:sz w:val="22"/>
          <w:szCs w:val="22"/>
          <w:lang w:val="fr-FR" w:eastAsia="fr-FR"/>
        </w:rPr>
        <w:t>Leçons apprises, analyse des meilleures pratiques d’ailleurs et recommandations d'amélioration du Programme de Subventions des Intrants, juillet 2018, Bamako.</w:t>
      </w:r>
    </w:p>
    <w:p w14:paraId="5FC1BF75" w14:textId="04976AB1" w:rsidR="00F57AAC" w:rsidRPr="00623BA0" w:rsidRDefault="00F57AAC" w:rsidP="005737BE">
      <w:pPr>
        <w:pStyle w:val="NormalWeb"/>
        <w:spacing w:before="0" w:beforeAutospacing="0" w:after="120" w:afterAutospacing="0"/>
        <w:rPr>
          <w:rFonts w:ascii="Garamond" w:eastAsiaTheme="minorHAnsi" w:hAnsi="Garamond"/>
          <w:sz w:val="22"/>
          <w:szCs w:val="22"/>
          <w:lang w:val="fr-FR"/>
        </w:rPr>
      </w:pPr>
      <w:r w:rsidRPr="00623BA0">
        <w:rPr>
          <w:rFonts w:ascii="Garamond" w:eastAsiaTheme="minorHAnsi" w:hAnsi="Garamond"/>
          <w:sz w:val="22"/>
          <w:szCs w:val="22"/>
          <w:lang w:val="fr-FR"/>
        </w:rPr>
        <w:t xml:space="preserve">Diakité, L.; Kergna, </w:t>
      </w:r>
      <w:proofErr w:type="spellStart"/>
      <w:proofErr w:type="gramStart"/>
      <w:r w:rsidRPr="00623BA0">
        <w:rPr>
          <w:rFonts w:ascii="Garamond" w:eastAsiaTheme="minorHAnsi" w:hAnsi="Garamond"/>
          <w:sz w:val="22"/>
          <w:szCs w:val="22"/>
          <w:lang w:val="fr-FR"/>
        </w:rPr>
        <w:t>A.,O</w:t>
      </w:r>
      <w:proofErr w:type="spellEnd"/>
      <w:r w:rsidRPr="00623BA0">
        <w:rPr>
          <w:rFonts w:ascii="Garamond" w:eastAsiaTheme="minorHAnsi" w:hAnsi="Garamond"/>
          <w:sz w:val="22"/>
          <w:szCs w:val="22"/>
          <w:lang w:val="fr-FR"/>
        </w:rPr>
        <w:t>.</w:t>
      </w:r>
      <w:proofErr w:type="gramEnd"/>
      <w:r w:rsidRPr="00623BA0">
        <w:rPr>
          <w:rFonts w:ascii="Garamond" w:eastAsiaTheme="minorHAnsi" w:hAnsi="Garamond"/>
          <w:sz w:val="22"/>
          <w:szCs w:val="22"/>
          <w:lang w:val="fr-FR"/>
        </w:rPr>
        <w:t xml:space="preserve">; </w:t>
      </w:r>
      <w:proofErr w:type="spellStart"/>
      <w:r w:rsidRPr="00623BA0">
        <w:rPr>
          <w:rFonts w:ascii="Garamond" w:eastAsiaTheme="minorHAnsi" w:hAnsi="Garamond"/>
          <w:sz w:val="22"/>
          <w:szCs w:val="22"/>
          <w:lang w:val="fr-FR"/>
        </w:rPr>
        <w:t>Cissé,I</w:t>
      </w:r>
      <w:proofErr w:type="spellEnd"/>
      <w:r w:rsidRPr="00623BA0">
        <w:rPr>
          <w:rFonts w:ascii="Garamond" w:eastAsiaTheme="minorHAnsi" w:hAnsi="Garamond"/>
          <w:sz w:val="22"/>
          <w:szCs w:val="22"/>
          <w:lang w:val="fr-FR"/>
        </w:rPr>
        <w:t>.; Coulibaly, A.; Traore A., 2013. Analyse des effets et impacts de la subvention des intrants agricoles au Mali, Ambassade Royale du Danemark, Programme d’Appui au Secteur Agricole du Mali (</w:t>
      </w:r>
      <w:proofErr w:type="spellStart"/>
      <w:r w:rsidRPr="00623BA0">
        <w:rPr>
          <w:rFonts w:ascii="Garamond" w:eastAsiaTheme="minorHAnsi" w:hAnsi="Garamond"/>
          <w:sz w:val="22"/>
          <w:szCs w:val="22"/>
          <w:lang w:val="fr-FR"/>
        </w:rPr>
        <w:t>PASAM</w:t>
      </w:r>
      <w:proofErr w:type="spellEnd"/>
      <w:r w:rsidRPr="00623BA0">
        <w:rPr>
          <w:rFonts w:ascii="Garamond" w:eastAsiaTheme="minorHAnsi" w:hAnsi="Garamond"/>
          <w:sz w:val="22"/>
          <w:szCs w:val="22"/>
          <w:lang w:val="fr-FR"/>
        </w:rPr>
        <w:t>), composante A, Bamako.</w:t>
      </w:r>
    </w:p>
    <w:p w14:paraId="21F2DACA" w14:textId="048D9DAC" w:rsidR="00F57AAC" w:rsidRPr="00623BA0" w:rsidRDefault="00F57AAC" w:rsidP="005737BE">
      <w:pPr>
        <w:spacing w:after="120"/>
        <w:rPr>
          <w:rFonts w:ascii="Garamond" w:hAnsi="Garamond"/>
          <w:color w:val="555555"/>
          <w:sz w:val="22"/>
          <w:szCs w:val="22"/>
          <w:shd w:val="clear" w:color="auto" w:fill="FFFFFF"/>
          <w:lang w:val="fr-FR"/>
        </w:rPr>
      </w:pPr>
      <w:proofErr w:type="spellStart"/>
      <w:r w:rsidRPr="00623BA0">
        <w:rPr>
          <w:rFonts w:ascii="Garamond" w:hAnsi="Garamond"/>
          <w:sz w:val="22"/>
          <w:szCs w:val="22"/>
          <w:lang w:val="fr-FR"/>
        </w:rPr>
        <w:t>Fleshman</w:t>
      </w:r>
      <w:proofErr w:type="spellEnd"/>
      <w:r w:rsidRPr="00623BA0">
        <w:rPr>
          <w:rFonts w:ascii="Garamond" w:hAnsi="Garamond"/>
          <w:sz w:val="22"/>
          <w:szCs w:val="22"/>
          <w:lang w:val="fr-FR"/>
        </w:rPr>
        <w:t xml:space="preserve">, M., 2008. Moisson de l’espoir pour les agriculteur: </w:t>
      </w:r>
      <w:r w:rsidRPr="00623BA0">
        <w:rPr>
          <w:rFonts w:ascii="Garamond" w:hAnsi="Garamond"/>
          <w:color w:val="555555"/>
          <w:sz w:val="22"/>
          <w:szCs w:val="22"/>
          <w:shd w:val="clear" w:color="auto" w:fill="FFFFFF"/>
          <w:lang w:val="fr-FR"/>
        </w:rPr>
        <w:t>Au Malawi, les subventions agricoles amènent une récolte exceptionnelle : (</w:t>
      </w:r>
      <w:hyperlink r:id="rId21" w:history="1">
        <w:r w:rsidRPr="00623BA0">
          <w:rPr>
            <w:rStyle w:val="Hyperlink"/>
            <w:rFonts w:ascii="Garamond" w:hAnsi="Garamond"/>
            <w:sz w:val="22"/>
            <w:szCs w:val="22"/>
            <w:shd w:val="clear" w:color="auto" w:fill="FFFFFF"/>
            <w:lang w:val="fr-FR"/>
          </w:rPr>
          <w:t>https: //www.un.org/africarenewal/fr/magazine/october-2008/moisson-de-l’espoir-pour-les-agriculteurs</w:t>
        </w:r>
      </w:hyperlink>
      <w:r w:rsidRPr="00623BA0">
        <w:rPr>
          <w:rFonts w:ascii="Garamond" w:hAnsi="Garamond"/>
          <w:color w:val="555555"/>
          <w:sz w:val="22"/>
          <w:szCs w:val="22"/>
          <w:shd w:val="clear" w:color="auto" w:fill="FFFFFF"/>
          <w:lang w:val="fr-FR"/>
        </w:rPr>
        <w:t>).</w:t>
      </w:r>
    </w:p>
    <w:p w14:paraId="7CC04C59" w14:textId="77869FD7" w:rsidR="00F57AAC" w:rsidRPr="00623BA0" w:rsidRDefault="00F57AAC" w:rsidP="00F57AAC">
      <w:pPr>
        <w:spacing w:line="276" w:lineRule="auto"/>
        <w:jc w:val="both"/>
        <w:rPr>
          <w:rFonts w:ascii="Garamond" w:eastAsiaTheme="minorEastAsia" w:hAnsi="Garamond"/>
          <w:sz w:val="22"/>
          <w:szCs w:val="22"/>
          <w:lang w:eastAsia="fr-FR"/>
        </w:rPr>
      </w:pPr>
      <w:r w:rsidRPr="00623BA0">
        <w:rPr>
          <w:rFonts w:ascii="Garamond" w:eastAsiaTheme="minorEastAsia" w:hAnsi="Garamond"/>
          <w:sz w:val="22"/>
          <w:szCs w:val="22"/>
          <w:lang w:eastAsia="fr-FR"/>
        </w:rPr>
        <w:t xml:space="preserve">Fuentes, P. A., </w:t>
      </w:r>
      <w:proofErr w:type="spellStart"/>
      <w:r w:rsidRPr="00623BA0">
        <w:rPr>
          <w:rFonts w:ascii="Garamond" w:eastAsiaTheme="minorEastAsia" w:hAnsi="Garamond"/>
          <w:sz w:val="22"/>
          <w:szCs w:val="22"/>
          <w:lang w:eastAsia="fr-FR"/>
        </w:rPr>
        <w:t>Bumb</w:t>
      </w:r>
      <w:proofErr w:type="spellEnd"/>
      <w:r w:rsidRPr="00623BA0">
        <w:rPr>
          <w:rFonts w:ascii="Garamond" w:eastAsiaTheme="minorEastAsia" w:hAnsi="Garamond"/>
          <w:sz w:val="22"/>
          <w:szCs w:val="22"/>
          <w:lang w:eastAsia="fr-FR"/>
        </w:rPr>
        <w:t xml:space="preserve">, B. and Johnson, B., 2011. Improving Fertilizer Markets in West Africa: The Fertilizer Supply Chain in </w:t>
      </w:r>
      <w:proofErr w:type="gramStart"/>
      <w:r w:rsidRPr="00623BA0">
        <w:rPr>
          <w:rFonts w:ascii="Garamond" w:eastAsiaTheme="minorEastAsia" w:hAnsi="Garamond"/>
          <w:sz w:val="22"/>
          <w:szCs w:val="22"/>
          <w:lang w:eastAsia="fr-FR"/>
        </w:rPr>
        <w:t>Mali ,</w:t>
      </w:r>
      <w:proofErr w:type="gramEnd"/>
      <w:r w:rsidRPr="00623BA0">
        <w:rPr>
          <w:rFonts w:ascii="Garamond" w:eastAsiaTheme="minorEastAsia" w:hAnsi="Garamond"/>
          <w:sz w:val="22"/>
          <w:szCs w:val="22"/>
          <w:lang w:eastAsia="fr-FR"/>
        </w:rPr>
        <w:t xml:space="preserve"> </w:t>
      </w:r>
      <w:proofErr w:type="spellStart"/>
      <w:r w:rsidRPr="00623BA0">
        <w:rPr>
          <w:rFonts w:ascii="Garamond" w:eastAsiaTheme="minorEastAsia" w:hAnsi="Garamond"/>
          <w:sz w:val="22"/>
          <w:szCs w:val="22"/>
          <w:lang w:eastAsia="fr-FR"/>
        </w:rPr>
        <w:t>IFDC,IFPRI</w:t>
      </w:r>
      <w:proofErr w:type="spellEnd"/>
      <w:r w:rsidRPr="00623BA0">
        <w:rPr>
          <w:rFonts w:ascii="Garamond" w:eastAsiaTheme="minorEastAsia" w:hAnsi="Garamond"/>
          <w:sz w:val="22"/>
          <w:szCs w:val="22"/>
          <w:lang w:eastAsia="fr-FR"/>
        </w:rPr>
        <w:t>.</w:t>
      </w:r>
    </w:p>
    <w:p w14:paraId="48408231" w14:textId="29F05D89" w:rsidR="0059456B" w:rsidRPr="00623BA0" w:rsidRDefault="00F57AAC" w:rsidP="0059456B">
      <w:pPr>
        <w:pStyle w:val="NormalWeb"/>
        <w:spacing w:before="120" w:beforeAutospacing="0" w:after="0" w:afterAutospacing="0"/>
        <w:rPr>
          <w:rFonts w:ascii="Garamond" w:eastAsiaTheme="minorHAnsi" w:hAnsi="Garamond"/>
          <w:sz w:val="22"/>
          <w:szCs w:val="22"/>
        </w:rPr>
      </w:pPr>
      <w:r w:rsidRPr="00623BA0">
        <w:rPr>
          <w:rFonts w:ascii="Garamond" w:eastAsiaTheme="minorHAnsi" w:hAnsi="Garamond"/>
          <w:sz w:val="22"/>
          <w:szCs w:val="22"/>
        </w:rPr>
        <w:t>Griffin, K., 1996. Macroeconomic Reform and Employment: An Investment-Led Strategy of Structural Adjustment in Sub-Saharan Africa. California, University of California, Riverside.</w:t>
      </w:r>
    </w:p>
    <w:p w14:paraId="735D9AE8" w14:textId="56889745" w:rsidR="00F57AAC" w:rsidRPr="00623BA0" w:rsidRDefault="00F57AAC" w:rsidP="00061DF5">
      <w:pPr>
        <w:pStyle w:val="NormalWeb"/>
        <w:spacing w:before="120" w:beforeAutospacing="0" w:after="120" w:afterAutospacing="0"/>
        <w:rPr>
          <w:rFonts w:ascii="Garamond" w:eastAsiaTheme="minorHAnsi" w:hAnsi="Garamond"/>
          <w:sz w:val="22"/>
          <w:szCs w:val="22"/>
          <w:lang w:val="fr-FR"/>
        </w:rPr>
      </w:pPr>
      <w:r w:rsidRPr="00623BA0">
        <w:rPr>
          <w:rFonts w:ascii="Garamond" w:eastAsiaTheme="minorHAnsi" w:hAnsi="Garamond"/>
          <w:sz w:val="22"/>
          <w:szCs w:val="22"/>
        </w:rPr>
        <w:t xml:space="preserve">De </w:t>
      </w:r>
      <w:proofErr w:type="spellStart"/>
      <w:r w:rsidRPr="00623BA0">
        <w:rPr>
          <w:rFonts w:ascii="Garamond" w:eastAsiaTheme="minorHAnsi" w:hAnsi="Garamond"/>
          <w:sz w:val="22"/>
          <w:szCs w:val="22"/>
        </w:rPr>
        <w:t>Gorter</w:t>
      </w:r>
      <w:proofErr w:type="spellEnd"/>
      <w:r w:rsidRPr="00623BA0">
        <w:rPr>
          <w:rFonts w:ascii="Garamond" w:eastAsiaTheme="minorHAnsi" w:hAnsi="Garamond"/>
          <w:sz w:val="22"/>
          <w:szCs w:val="22"/>
        </w:rPr>
        <w:t>,</w:t>
      </w:r>
      <w:r w:rsidR="0059456B" w:rsidRPr="00623BA0">
        <w:rPr>
          <w:rFonts w:ascii="Garamond" w:eastAsiaTheme="minorHAnsi" w:hAnsi="Garamond"/>
          <w:sz w:val="22"/>
          <w:szCs w:val="22"/>
        </w:rPr>
        <w:t xml:space="preserve"> H.,</w:t>
      </w:r>
      <w:r w:rsidR="005908B2" w:rsidRPr="00623BA0">
        <w:rPr>
          <w:rFonts w:ascii="Garamond" w:eastAsiaTheme="minorHAnsi" w:hAnsi="Garamond"/>
          <w:sz w:val="22"/>
          <w:szCs w:val="22"/>
        </w:rPr>
        <w:t xml:space="preserve"> </w:t>
      </w:r>
      <w:r w:rsidRPr="00623BA0">
        <w:rPr>
          <w:rFonts w:ascii="Garamond" w:eastAsiaTheme="minorHAnsi" w:hAnsi="Garamond"/>
          <w:sz w:val="22"/>
          <w:szCs w:val="22"/>
        </w:rPr>
        <w:t>Nielson</w:t>
      </w:r>
      <w:r w:rsidR="0059456B" w:rsidRPr="00623BA0">
        <w:rPr>
          <w:rFonts w:ascii="Garamond" w:eastAsiaTheme="minorHAnsi" w:hAnsi="Garamond"/>
          <w:sz w:val="22"/>
          <w:szCs w:val="22"/>
        </w:rPr>
        <w:t xml:space="preserve">, </w:t>
      </w:r>
      <w:proofErr w:type="gramStart"/>
      <w:r w:rsidR="0059456B" w:rsidRPr="00623BA0">
        <w:rPr>
          <w:rFonts w:ascii="Garamond" w:eastAsiaTheme="minorHAnsi" w:hAnsi="Garamond"/>
          <w:sz w:val="22"/>
          <w:szCs w:val="22"/>
        </w:rPr>
        <w:t>DJ.</w:t>
      </w:r>
      <w:r w:rsidRPr="00623BA0">
        <w:rPr>
          <w:rFonts w:ascii="Garamond" w:eastAsiaTheme="minorHAnsi" w:hAnsi="Garamond"/>
          <w:sz w:val="22"/>
          <w:szCs w:val="22"/>
        </w:rPr>
        <w:t>,</w:t>
      </w:r>
      <w:proofErr w:type="gramEnd"/>
      <w:r w:rsidRPr="00623BA0">
        <w:rPr>
          <w:rFonts w:ascii="Garamond" w:eastAsiaTheme="minorHAnsi" w:hAnsi="Garamond"/>
          <w:sz w:val="22"/>
          <w:szCs w:val="22"/>
        </w:rPr>
        <w:t xml:space="preserve"> </w:t>
      </w:r>
      <w:proofErr w:type="spellStart"/>
      <w:r w:rsidRPr="00623BA0">
        <w:rPr>
          <w:rFonts w:ascii="Garamond" w:eastAsiaTheme="minorHAnsi" w:hAnsi="Garamond"/>
          <w:sz w:val="22"/>
          <w:szCs w:val="22"/>
        </w:rPr>
        <w:t>Rausser</w:t>
      </w:r>
      <w:proofErr w:type="spellEnd"/>
      <w:r w:rsidR="0059456B" w:rsidRPr="00623BA0">
        <w:rPr>
          <w:rFonts w:ascii="Garamond" w:eastAsiaTheme="minorHAnsi" w:hAnsi="Garamond"/>
          <w:sz w:val="22"/>
          <w:szCs w:val="22"/>
        </w:rPr>
        <w:t>, GC.,</w:t>
      </w:r>
      <w:r w:rsidRPr="00623BA0">
        <w:rPr>
          <w:rFonts w:ascii="Garamond" w:eastAsiaTheme="minorHAnsi" w:hAnsi="Garamond"/>
          <w:sz w:val="22"/>
          <w:szCs w:val="22"/>
        </w:rPr>
        <w:t xml:space="preserve">- American Journal of Agricultural Economics, 1992. </w:t>
      </w:r>
      <w:r w:rsidR="006C4840" w:rsidRPr="00623BA0">
        <w:rPr>
          <w:rFonts w:ascii="Garamond" w:eastAsiaTheme="minorHAnsi" w:hAnsi="Garamond"/>
          <w:sz w:val="22"/>
          <w:szCs w:val="22"/>
        </w:rPr>
        <w:t xml:space="preserve">Productive and Predatory Public Policies: Research Expenditures and Producer Subsidies in Agriculture. </w:t>
      </w:r>
      <w:r w:rsidR="006C4840" w:rsidRPr="00623BA0">
        <w:rPr>
          <w:rFonts w:ascii="Garamond" w:eastAsiaTheme="minorHAnsi" w:hAnsi="Garamond"/>
          <w:sz w:val="22"/>
          <w:szCs w:val="22"/>
          <w:lang w:val="fr-FR"/>
        </w:rPr>
        <w:t>Publisher, city, country.</w:t>
      </w:r>
    </w:p>
    <w:p w14:paraId="5B50B201" w14:textId="015A5CEA" w:rsidR="005737BE" w:rsidRPr="00623BA0" w:rsidRDefault="006C4840" w:rsidP="005737BE">
      <w:pPr>
        <w:spacing w:after="120" w:line="276" w:lineRule="auto"/>
        <w:jc w:val="both"/>
        <w:rPr>
          <w:rFonts w:ascii="Garamond" w:eastAsiaTheme="minorEastAsia" w:hAnsi="Garamond"/>
          <w:sz w:val="22"/>
          <w:szCs w:val="22"/>
          <w:lang w:val="fr-FR" w:eastAsia="fr-FR"/>
        </w:rPr>
      </w:pPr>
      <w:proofErr w:type="spellStart"/>
      <w:r w:rsidRPr="00623BA0">
        <w:rPr>
          <w:rFonts w:ascii="Garamond" w:eastAsiaTheme="minorEastAsia" w:hAnsi="Garamond"/>
          <w:sz w:val="22"/>
          <w:szCs w:val="22"/>
          <w:lang w:val="fr-FR" w:eastAsia="fr-FR"/>
        </w:rPr>
        <w:t>Hollinger</w:t>
      </w:r>
      <w:proofErr w:type="spellEnd"/>
      <w:r w:rsidRPr="00623BA0">
        <w:rPr>
          <w:rFonts w:ascii="Garamond" w:eastAsiaTheme="minorEastAsia" w:hAnsi="Garamond"/>
          <w:sz w:val="22"/>
          <w:szCs w:val="22"/>
          <w:lang w:val="fr-FR" w:eastAsia="fr-FR"/>
        </w:rPr>
        <w:t xml:space="preserve">, F., </w:t>
      </w:r>
      <w:proofErr w:type="spellStart"/>
      <w:r w:rsidRPr="00623BA0">
        <w:rPr>
          <w:rFonts w:ascii="Garamond" w:eastAsiaTheme="minorEastAsia" w:hAnsi="Garamond"/>
          <w:sz w:val="22"/>
          <w:szCs w:val="22"/>
          <w:lang w:val="fr-FR" w:eastAsia="fr-FR"/>
        </w:rPr>
        <w:t>Staaz</w:t>
      </w:r>
      <w:proofErr w:type="spellEnd"/>
      <w:r w:rsidRPr="00623BA0">
        <w:rPr>
          <w:rFonts w:ascii="Garamond" w:eastAsiaTheme="minorEastAsia" w:hAnsi="Garamond"/>
          <w:sz w:val="22"/>
          <w:szCs w:val="22"/>
          <w:lang w:val="fr-FR" w:eastAsia="fr-FR"/>
        </w:rPr>
        <w:t xml:space="preserve">, J. M., 2015. Croissance Agricole en Afrique de l’Ouest: Facteurs déterminants de marché et de politique. Rome, FAO 426p. </w:t>
      </w:r>
    </w:p>
    <w:p w14:paraId="56AC445A" w14:textId="02AEDFD0" w:rsidR="001535C0" w:rsidRPr="00623BA0" w:rsidRDefault="00E63CF0" w:rsidP="005737BE">
      <w:pPr>
        <w:spacing w:after="120" w:line="276" w:lineRule="auto"/>
        <w:jc w:val="both"/>
        <w:rPr>
          <w:rFonts w:ascii="Garamond" w:eastAsiaTheme="minorEastAsia" w:hAnsi="Garamond"/>
          <w:sz w:val="22"/>
          <w:szCs w:val="22"/>
          <w:lang w:val="fr-FR" w:eastAsia="fr-FR"/>
        </w:rPr>
      </w:pPr>
      <w:r w:rsidRPr="00623BA0">
        <w:rPr>
          <w:rFonts w:ascii="Garamond" w:hAnsi="Garamond"/>
          <w:noProof/>
          <w:sz w:val="22"/>
          <w:szCs w:val="22"/>
        </w:rPr>
        <mc:AlternateContent>
          <mc:Choice Requires="wps">
            <w:drawing>
              <wp:anchor distT="45720" distB="45720" distL="114300" distR="114300" simplePos="0" relativeHeight="251665408" behindDoc="0" locked="0" layoutInCell="1" allowOverlap="1" wp14:anchorId="4AF6984F" wp14:editId="7A2A825A">
                <wp:simplePos x="0" y="0"/>
                <wp:positionH relativeFrom="margin">
                  <wp:posOffset>-190500</wp:posOffset>
                </wp:positionH>
                <wp:positionV relativeFrom="paragraph">
                  <wp:posOffset>1009650</wp:posOffset>
                </wp:positionV>
                <wp:extent cx="7067550" cy="1933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933575"/>
                        </a:xfrm>
                        <a:prstGeom prst="rect">
                          <a:avLst/>
                        </a:prstGeom>
                        <a:solidFill>
                          <a:srgbClr val="E6E7E8"/>
                        </a:solidFill>
                        <a:ln w="9525">
                          <a:noFill/>
                          <a:miter lim="800000"/>
                          <a:headEnd/>
                          <a:tailEnd/>
                        </a:ln>
                      </wps:spPr>
                      <wps:txbx>
                        <w:txbxContent>
                          <w:p w14:paraId="475B04D0" w14:textId="545DCC19" w:rsidR="00E60F13" w:rsidRDefault="00E60F13" w:rsidP="00E63CF0">
                            <w:pPr>
                              <w:ind w:firstLine="18"/>
                              <w:rPr>
                                <w:rFonts w:ascii="Garamond" w:hAnsi="Garamond"/>
                                <w:i/>
                                <w:lang w:val="fr-FR"/>
                              </w:rPr>
                            </w:pPr>
                            <w:r w:rsidRPr="00414648">
                              <w:rPr>
                                <w:rFonts w:ascii="Garamond" w:hAnsi="Garamond"/>
                                <w:i/>
                                <w:lang w:val="fr-FR"/>
                              </w:rPr>
                              <w:t>Ces travaux de recherche ont été réalisés grâce au soutien généreux du peuple américain à travers l’Agence Américaine pour le Développement</w:t>
                            </w:r>
                            <w:r w:rsidR="00E63CF0">
                              <w:rPr>
                                <w:rFonts w:ascii="Garamond" w:hAnsi="Garamond"/>
                                <w:i/>
                                <w:lang w:val="fr-FR"/>
                              </w:rPr>
                              <w:t xml:space="preserve"> </w:t>
                            </w:r>
                            <w:r w:rsidRPr="00414648">
                              <w:rPr>
                                <w:rFonts w:ascii="Garamond" w:hAnsi="Garamond"/>
                                <w:i/>
                                <w:lang w:val="fr-FR"/>
                              </w:rPr>
                              <w:t>International (</w:t>
                            </w:r>
                            <w:proofErr w:type="spellStart"/>
                            <w:r w:rsidRPr="00414648">
                              <w:rPr>
                                <w:rFonts w:ascii="Garamond" w:hAnsi="Garamond"/>
                                <w:i/>
                                <w:lang w:val="fr-FR"/>
                              </w:rPr>
                              <w:t>USAID</w:t>
                            </w:r>
                            <w:proofErr w:type="spellEnd"/>
                            <w:r w:rsidRPr="00414648">
                              <w:rPr>
                                <w:rFonts w:ascii="Garamond" w:hAnsi="Garamond"/>
                                <w:i/>
                                <w:lang w:val="fr-FR"/>
                              </w:rPr>
                              <w:t xml:space="preserve">) dans le cadre de l’initiative intitulée « </w:t>
                            </w:r>
                            <w:proofErr w:type="spellStart"/>
                            <w:r w:rsidRPr="00414648">
                              <w:rPr>
                                <w:rFonts w:ascii="Garamond" w:hAnsi="Garamond"/>
                                <w:i/>
                                <w:lang w:val="fr-FR"/>
                              </w:rPr>
                              <w:t>Feed</w:t>
                            </w:r>
                            <w:proofErr w:type="spellEnd"/>
                            <w:r w:rsidRPr="00414648">
                              <w:rPr>
                                <w:rFonts w:ascii="Garamond" w:hAnsi="Garamond"/>
                                <w:i/>
                                <w:lang w:val="fr-FR"/>
                              </w:rPr>
                              <w:t xml:space="preserve"> the Future ». Les auteurs assument totalement la responsabilité du contenu de cette étude qui ne reflète point les opinions de l’</w:t>
                            </w:r>
                            <w:proofErr w:type="spellStart"/>
                            <w:r w:rsidRPr="00414648">
                              <w:rPr>
                                <w:rFonts w:ascii="Garamond" w:hAnsi="Garamond"/>
                                <w:i/>
                                <w:lang w:val="fr-FR"/>
                              </w:rPr>
                              <w:t>USAID</w:t>
                            </w:r>
                            <w:proofErr w:type="spellEnd"/>
                            <w:r w:rsidRPr="00414648">
                              <w:rPr>
                                <w:rFonts w:ascii="Garamond" w:hAnsi="Garamond"/>
                                <w:i/>
                                <w:lang w:val="fr-FR"/>
                              </w:rPr>
                              <w:t xml:space="preserve"> ni du gouvernement américain.</w:t>
                            </w:r>
                          </w:p>
                          <w:p w14:paraId="2D6BAB1B" w14:textId="77777777" w:rsidR="00E63CF0" w:rsidRPr="00414648" w:rsidRDefault="00E63CF0" w:rsidP="00E63CF0">
                            <w:pPr>
                              <w:ind w:left="432" w:hanging="432"/>
                              <w:rPr>
                                <w:rFonts w:ascii="Garamond" w:hAnsi="Garamond"/>
                                <w:i/>
                                <w:lang w:val="fr-FR"/>
                              </w:rPr>
                            </w:pPr>
                          </w:p>
                          <w:p w14:paraId="09D4816C" w14:textId="0DDBED84" w:rsidR="00E60F13" w:rsidRPr="00E63CF0" w:rsidRDefault="00E60F13" w:rsidP="00E63CF0">
                            <w:pPr>
                              <w:rPr>
                                <w:rFonts w:ascii="Garamond" w:hAnsi="Garamond"/>
                                <w:color w:val="4799B5"/>
                                <w:lang w:val="fr-FR"/>
                              </w:rPr>
                            </w:pPr>
                            <w:r w:rsidRPr="00E63CF0">
                              <w:rPr>
                                <w:rFonts w:ascii="Garamond" w:hAnsi="Garamond"/>
                                <w:color w:val="4799B5"/>
                                <w:lang w:val="fr-FR"/>
                              </w:rPr>
                              <w:t>Copyright © 2019, Michigan State University. Tous droits réservés. Ce document peut être reproduit pou</w:t>
                            </w:r>
                            <w:r w:rsidR="00210B7F" w:rsidRPr="00E63CF0">
                              <w:rPr>
                                <w:rFonts w:ascii="Garamond" w:hAnsi="Garamond"/>
                                <w:color w:val="4799B5"/>
                                <w:lang w:val="fr-FR"/>
                              </w:rPr>
                              <w:t>r</w:t>
                            </w:r>
                            <w:r w:rsidRPr="00E63CF0">
                              <w:rPr>
                                <w:rFonts w:ascii="Garamond" w:hAnsi="Garamond"/>
                                <w:color w:val="4799B5"/>
                                <w:lang w:val="fr-FR"/>
                              </w:rPr>
                              <w:t xml:space="preserve"> utilisation à des fins personnelles ou dans le cadre d’activités à but non lucratif sans la permission de MSU, mais ce dernier doit être mentionné.</w:t>
                            </w:r>
                          </w:p>
                          <w:p w14:paraId="493399F9" w14:textId="77777777" w:rsidR="00E63CF0" w:rsidRPr="00E63CF0" w:rsidRDefault="00E63CF0" w:rsidP="00E63CF0">
                            <w:pPr>
                              <w:rPr>
                                <w:rFonts w:ascii="Garamond" w:hAnsi="Garamond"/>
                                <w:color w:val="4799B5"/>
                                <w:lang w:val="fr-FR"/>
                              </w:rPr>
                            </w:pPr>
                          </w:p>
                          <w:p w14:paraId="3875C841" w14:textId="77777777" w:rsidR="00E60F13" w:rsidRPr="00E63CF0" w:rsidRDefault="00E60F13" w:rsidP="00E63CF0">
                            <w:pPr>
                              <w:rPr>
                                <w:rFonts w:ascii="Garamond" w:hAnsi="Garamond" w:cs="Gill Sans"/>
                                <w:color w:val="4799B5"/>
                                <w:sz w:val="20"/>
                                <w:szCs w:val="20"/>
                                <w:lang w:val="fr-FR"/>
                              </w:rPr>
                            </w:pPr>
                            <w:r w:rsidRPr="00E63CF0">
                              <w:rPr>
                                <w:rFonts w:ascii="Garamond" w:hAnsi="Garamond"/>
                                <w:color w:val="4799B5"/>
                                <w:lang w:val="fr-FR"/>
                              </w:rPr>
                              <w:t xml:space="preserve">Publié par le Département d’économie agricole, alimentaire et des ressources naturelles, Michigan State University, Justin S. </w:t>
                            </w:r>
                            <w:proofErr w:type="spellStart"/>
                            <w:r w:rsidRPr="00E63CF0">
                              <w:rPr>
                                <w:rFonts w:ascii="Garamond" w:hAnsi="Garamond"/>
                                <w:color w:val="4799B5"/>
                                <w:lang w:val="fr-FR"/>
                              </w:rPr>
                              <w:t>Morrill</w:t>
                            </w:r>
                            <w:proofErr w:type="spellEnd"/>
                            <w:r w:rsidRPr="00E63CF0">
                              <w:rPr>
                                <w:rFonts w:ascii="Garamond" w:hAnsi="Garamond"/>
                                <w:color w:val="4799B5"/>
                                <w:lang w:val="fr-FR"/>
                              </w:rPr>
                              <w:t xml:space="preserve"> Hall of Agriculture, 446 West Circle Dr., Room 202, East Lansing, Michigan 48824, USA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6984F" id="_x0000_s1027" type="#_x0000_t202" style="position:absolute;left:0;text-align:left;margin-left:-15pt;margin-top:79.5pt;width:556.5pt;height:15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" fillcolor="#e6e7e8" stroked="f">
                <v:textbox>
                  <w:txbxContent>
                    <w:p w14:paraId="475B04D0" w14:textId="545DCC19" w:rsidR="00E60F13" w:rsidRDefault="00E60F13" w:rsidP="00E63CF0">
                      <w:pPr>
                        <w:ind w:firstLine="18"/>
                        <w:rPr>
                          <w:rFonts w:ascii="Garamond" w:hAnsi="Garamond"/>
                          <w:i/>
                          <w:lang w:val="fr-FR"/>
                        </w:rPr>
                      </w:pPr>
                      <w:r w:rsidRPr="00414648">
                        <w:rPr>
                          <w:rFonts w:ascii="Garamond" w:hAnsi="Garamond"/>
                          <w:i/>
                          <w:lang w:val="fr-FR"/>
                        </w:rPr>
                        <w:t>Ces travaux de recherche ont été réalisés grâce au soutien généreux du peuple américain à travers l’Agence Américaine pour le Développement</w:t>
                      </w:r>
                      <w:r w:rsidR="00E63CF0">
                        <w:rPr>
                          <w:rFonts w:ascii="Garamond" w:hAnsi="Garamond"/>
                          <w:i/>
                          <w:lang w:val="fr-FR"/>
                        </w:rPr>
                        <w:t xml:space="preserve"> </w:t>
                      </w:r>
                      <w:r w:rsidRPr="00414648">
                        <w:rPr>
                          <w:rFonts w:ascii="Garamond" w:hAnsi="Garamond"/>
                          <w:i/>
                          <w:lang w:val="fr-FR"/>
                        </w:rPr>
                        <w:t>International (</w:t>
                      </w:r>
                      <w:proofErr w:type="spellStart"/>
                      <w:r w:rsidRPr="00414648">
                        <w:rPr>
                          <w:rFonts w:ascii="Garamond" w:hAnsi="Garamond"/>
                          <w:i/>
                          <w:lang w:val="fr-FR"/>
                        </w:rPr>
                        <w:t>USAID</w:t>
                      </w:r>
                      <w:proofErr w:type="spellEnd"/>
                      <w:r w:rsidRPr="00414648">
                        <w:rPr>
                          <w:rFonts w:ascii="Garamond" w:hAnsi="Garamond"/>
                          <w:i/>
                          <w:lang w:val="fr-FR"/>
                        </w:rPr>
                        <w:t xml:space="preserve">) dans le cadre de l’initiative intitulée « </w:t>
                      </w:r>
                      <w:proofErr w:type="spellStart"/>
                      <w:r w:rsidRPr="00414648">
                        <w:rPr>
                          <w:rFonts w:ascii="Garamond" w:hAnsi="Garamond"/>
                          <w:i/>
                          <w:lang w:val="fr-FR"/>
                        </w:rPr>
                        <w:t>Feed</w:t>
                      </w:r>
                      <w:proofErr w:type="spellEnd"/>
                      <w:r w:rsidRPr="00414648">
                        <w:rPr>
                          <w:rFonts w:ascii="Garamond" w:hAnsi="Garamond"/>
                          <w:i/>
                          <w:lang w:val="fr-FR"/>
                        </w:rPr>
                        <w:t xml:space="preserve"> the Future ». Les auteurs assument totalement la responsabilité du contenu de cette étude qui ne reflète point les opinions de l’</w:t>
                      </w:r>
                      <w:proofErr w:type="spellStart"/>
                      <w:r w:rsidRPr="00414648">
                        <w:rPr>
                          <w:rFonts w:ascii="Garamond" w:hAnsi="Garamond"/>
                          <w:i/>
                          <w:lang w:val="fr-FR"/>
                        </w:rPr>
                        <w:t>USAID</w:t>
                      </w:r>
                      <w:proofErr w:type="spellEnd"/>
                      <w:r w:rsidRPr="00414648">
                        <w:rPr>
                          <w:rFonts w:ascii="Garamond" w:hAnsi="Garamond"/>
                          <w:i/>
                          <w:lang w:val="fr-FR"/>
                        </w:rPr>
                        <w:t xml:space="preserve"> ni du gouvernement américain.</w:t>
                      </w:r>
                    </w:p>
                    <w:p w14:paraId="2D6BAB1B" w14:textId="77777777" w:rsidR="00E63CF0" w:rsidRPr="00414648" w:rsidRDefault="00E63CF0" w:rsidP="00E63CF0">
                      <w:pPr>
                        <w:ind w:left="432" w:hanging="432"/>
                        <w:rPr>
                          <w:rFonts w:ascii="Garamond" w:hAnsi="Garamond"/>
                          <w:i/>
                          <w:lang w:val="fr-FR"/>
                        </w:rPr>
                      </w:pPr>
                    </w:p>
                    <w:p w14:paraId="09D4816C" w14:textId="0DDBED84" w:rsidR="00E60F13" w:rsidRPr="00E63CF0" w:rsidRDefault="00E60F13" w:rsidP="00E63CF0">
                      <w:pPr>
                        <w:rPr>
                          <w:rFonts w:ascii="Garamond" w:hAnsi="Garamond"/>
                          <w:color w:val="4799B5"/>
                          <w:lang w:val="fr-FR"/>
                        </w:rPr>
                      </w:pPr>
                      <w:r w:rsidRPr="00E63CF0">
                        <w:rPr>
                          <w:rFonts w:ascii="Garamond" w:hAnsi="Garamond"/>
                          <w:color w:val="4799B5"/>
                          <w:lang w:val="fr-FR"/>
                        </w:rPr>
                        <w:t>Copyright © 2019, Michigan State University. Tous droits réservés. Ce document peut être reproduit pou</w:t>
                      </w:r>
                      <w:r w:rsidR="00210B7F" w:rsidRPr="00E63CF0">
                        <w:rPr>
                          <w:rFonts w:ascii="Garamond" w:hAnsi="Garamond"/>
                          <w:color w:val="4799B5"/>
                          <w:lang w:val="fr-FR"/>
                        </w:rPr>
                        <w:t>r</w:t>
                      </w:r>
                      <w:r w:rsidRPr="00E63CF0">
                        <w:rPr>
                          <w:rFonts w:ascii="Garamond" w:hAnsi="Garamond"/>
                          <w:color w:val="4799B5"/>
                          <w:lang w:val="fr-FR"/>
                        </w:rPr>
                        <w:t xml:space="preserve"> utilisation à des fins personnelles ou dans le cadre d’activités à but non lucratif sans la permission de MSU, mais ce dernier doit être mentionné.</w:t>
                      </w:r>
                    </w:p>
                    <w:p w14:paraId="493399F9" w14:textId="77777777" w:rsidR="00E63CF0" w:rsidRPr="00E63CF0" w:rsidRDefault="00E63CF0" w:rsidP="00E63CF0">
                      <w:pPr>
                        <w:rPr>
                          <w:rFonts w:ascii="Garamond" w:hAnsi="Garamond"/>
                          <w:color w:val="4799B5"/>
                          <w:lang w:val="fr-FR"/>
                        </w:rPr>
                      </w:pPr>
                    </w:p>
                    <w:p w14:paraId="3875C841" w14:textId="77777777" w:rsidR="00E60F13" w:rsidRPr="00E63CF0" w:rsidRDefault="00E60F13" w:rsidP="00E63CF0">
                      <w:pPr>
                        <w:rPr>
                          <w:rFonts w:ascii="Garamond" w:hAnsi="Garamond" w:cs="Gill Sans"/>
                          <w:color w:val="4799B5"/>
                          <w:sz w:val="20"/>
                          <w:szCs w:val="20"/>
                          <w:lang w:val="fr-FR"/>
                        </w:rPr>
                      </w:pPr>
                      <w:r w:rsidRPr="00E63CF0">
                        <w:rPr>
                          <w:rFonts w:ascii="Garamond" w:hAnsi="Garamond"/>
                          <w:color w:val="4799B5"/>
                          <w:lang w:val="fr-FR"/>
                        </w:rPr>
                        <w:t xml:space="preserve">Publié par le Département d’économie agricole, alimentaire et des ressources naturelles, Michigan State University, Justin S. </w:t>
                      </w:r>
                      <w:proofErr w:type="spellStart"/>
                      <w:r w:rsidRPr="00E63CF0">
                        <w:rPr>
                          <w:rFonts w:ascii="Garamond" w:hAnsi="Garamond"/>
                          <w:color w:val="4799B5"/>
                          <w:lang w:val="fr-FR"/>
                        </w:rPr>
                        <w:t>Morrill</w:t>
                      </w:r>
                      <w:proofErr w:type="spellEnd"/>
                      <w:r w:rsidRPr="00E63CF0">
                        <w:rPr>
                          <w:rFonts w:ascii="Garamond" w:hAnsi="Garamond"/>
                          <w:color w:val="4799B5"/>
                          <w:lang w:val="fr-FR"/>
                        </w:rPr>
                        <w:t xml:space="preserve"> Hall of Agriculture, 446 West Circle Dr., Room 202, East Lansing, Michigan 48824, USA</w:t>
                      </w:r>
                    </w:p>
                  </w:txbxContent>
                </v:textbox>
                <w10:wrap type="square" anchorx="margin"/>
              </v:shape>
            </w:pict>
          </mc:Fallback>
        </mc:AlternateContent>
      </w:r>
      <w:proofErr w:type="spellStart"/>
      <w:r w:rsidR="001535C0" w:rsidRPr="00623BA0">
        <w:rPr>
          <w:rFonts w:ascii="Garamond" w:eastAsiaTheme="minorEastAsia" w:hAnsi="Garamond"/>
          <w:sz w:val="22"/>
          <w:szCs w:val="22"/>
          <w:lang w:val="fr-FR" w:eastAsia="fr-FR"/>
        </w:rPr>
        <w:t>Instat</w:t>
      </w:r>
      <w:proofErr w:type="spellEnd"/>
      <w:r w:rsidR="001535C0" w:rsidRPr="00623BA0">
        <w:rPr>
          <w:rFonts w:ascii="Garamond" w:eastAsiaTheme="minorEastAsia" w:hAnsi="Garamond"/>
          <w:sz w:val="22"/>
          <w:szCs w:val="22"/>
          <w:lang w:val="fr-FR" w:eastAsia="fr-FR"/>
        </w:rPr>
        <w:t xml:space="preserve">, 2018: Compte économiques du Mali. </w:t>
      </w:r>
      <w:r w:rsidRPr="00623BA0">
        <w:rPr>
          <w:rFonts w:ascii="Garamond" w:eastAsiaTheme="minorEastAsia" w:hAnsi="Garamond"/>
          <w:sz w:val="22"/>
          <w:szCs w:val="22"/>
          <w:lang w:val="fr-FR" w:eastAsia="fr-FR"/>
        </w:rPr>
        <w:br w:type="column"/>
      </w:r>
    </w:p>
    <w:p w14:paraId="387F8769" w14:textId="3239F8AA" w:rsidR="005737BE" w:rsidRPr="00623BA0" w:rsidRDefault="005737BE" w:rsidP="00145FF5">
      <w:pPr>
        <w:pStyle w:val="MMNotes"/>
        <w:spacing w:after="120"/>
        <w:jc w:val="both"/>
        <w:rPr>
          <w:rFonts w:ascii="Garamond" w:eastAsiaTheme="minorHAnsi" w:hAnsi="Garamond"/>
          <w:sz w:val="22"/>
          <w:szCs w:val="22"/>
          <w:lang w:val="fr-FR"/>
        </w:rPr>
      </w:pPr>
      <w:r w:rsidRPr="00623BA0">
        <w:rPr>
          <w:rFonts w:ascii="Garamond" w:hAnsi="Garamond"/>
          <w:sz w:val="22"/>
          <w:szCs w:val="22"/>
          <w:lang w:val="fr-FR"/>
        </w:rPr>
        <w:t>Kone Y., 2010: Le marché du crédit face aux risque agricole : La riziculture de l’Office du Niger, Thèse de doctorat, Bamako.</w:t>
      </w:r>
    </w:p>
    <w:p w14:paraId="26A478C1" w14:textId="3E1FA599" w:rsidR="00F57AAC" w:rsidRPr="00623BA0" w:rsidRDefault="006C4840" w:rsidP="00061DF5">
      <w:pPr>
        <w:spacing w:after="120" w:line="276" w:lineRule="auto"/>
        <w:jc w:val="both"/>
        <w:rPr>
          <w:rFonts w:ascii="Garamond" w:eastAsiaTheme="minorEastAsia" w:hAnsi="Garamond"/>
          <w:sz w:val="22"/>
          <w:szCs w:val="22"/>
          <w:lang w:eastAsia="fr-FR"/>
        </w:rPr>
      </w:pPr>
      <w:proofErr w:type="spellStart"/>
      <w:r w:rsidRPr="00623BA0">
        <w:rPr>
          <w:rFonts w:ascii="Garamond" w:eastAsiaTheme="minorEastAsia" w:hAnsi="Garamond"/>
          <w:sz w:val="22"/>
          <w:szCs w:val="22"/>
          <w:lang w:eastAsia="fr-FR"/>
        </w:rPr>
        <w:t>MAFAP</w:t>
      </w:r>
      <w:proofErr w:type="spellEnd"/>
      <w:r w:rsidRPr="00623BA0">
        <w:rPr>
          <w:rFonts w:ascii="Garamond" w:eastAsiaTheme="minorEastAsia" w:hAnsi="Garamond"/>
          <w:sz w:val="22"/>
          <w:szCs w:val="22"/>
          <w:lang w:eastAsia="fr-FR"/>
        </w:rPr>
        <w:t>,</w:t>
      </w:r>
      <w:r w:rsidR="008943D0" w:rsidRPr="00623BA0">
        <w:rPr>
          <w:rFonts w:ascii="Garamond" w:eastAsiaTheme="minorEastAsia" w:hAnsi="Garamond"/>
          <w:sz w:val="22"/>
          <w:szCs w:val="22"/>
          <w:lang w:eastAsia="fr-FR"/>
        </w:rPr>
        <w:t xml:space="preserve"> </w:t>
      </w:r>
      <w:r w:rsidRPr="00623BA0">
        <w:rPr>
          <w:rFonts w:ascii="Garamond" w:eastAsiaTheme="minorEastAsia" w:hAnsi="Garamond"/>
          <w:sz w:val="22"/>
          <w:szCs w:val="22"/>
          <w:lang w:eastAsia="fr-FR"/>
        </w:rPr>
        <w:t xml:space="preserve">2013. Revue of food and agricultural policies in Mali 2005-2011, </w:t>
      </w:r>
      <w:proofErr w:type="spellStart"/>
      <w:r w:rsidRPr="00623BA0">
        <w:rPr>
          <w:rFonts w:ascii="Garamond" w:eastAsiaTheme="minorEastAsia" w:hAnsi="Garamond"/>
          <w:sz w:val="22"/>
          <w:szCs w:val="22"/>
          <w:lang w:eastAsia="fr-FR"/>
        </w:rPr>
        <w:t>MAFAP</w:t>
      </w:r>
      <w:proofErr w:type="spellEnd"/>
      <w:r w:rsidRPr="00623BA0">
        <w:rPr>
          <w:rFonts w:ascii="Garamond" w:eastAsiaTheme="minorEastAsia" w:hAnsi="Garamond"/>
          <w:sz w:val="22"/>
          <w:szCs w:val="22"/>
          <w:lang w:eastAsia="fr-FR"/>
        </w:rPr>
        <w:t xml:space="preserve"> Country Report </w:t>
      </w:r>
      <w:proofErr w:type="gramStart"/>
      <w:r w:rsidRPr="00623BA0">
        <w:rPr>
          <w:rFonts w:ascii="Garamond" w:eastAsiaTheme="minorEastAsia" w:hAnsi="Garamond"/>
          <w:sz w:val="22"/>
          <w:szCs w:val="22"/>
          <w:lang w:eastAsia="fr-FR"/>
        </w:rPr>
        <w:t>Series ,</w:t>
      </w:r>
      <w:proofErr w:type="gramEnd"/>
      <w:r w:rsidRPr="00623BA0">
        <w:rPr>
          <w:rFonts w:ascii="Garamond" w:eastAsiaTheme="minorEastAsia" w:hAnsi="Garamond"/>
          <w:sz w:val="22"/>
          <w:szCs w:val="22"/>
          <w:lang w:eastAsia="fr-FR"/>
        </w:rPr>
        <w:t xml:space="preserve"> FAO, Rome, Italy</w:t>
      </w:r>
      <w:r w:rsidR="00F57AAC" w:rsidRPr="00623BA0">
        <w:rPr>
          <w:rFonts w:ascii="Garamond" w:eastAsiaTheme="minorEastAsia" w:hAnsi="Garamond"/>
          <w:sz w:val="22"/>
          <w:szCs w:val="22"/>
          <w:lang w:eastAsia="fr-FR"/>
        </w:rPr>
        <w:t>.</w:t>
      </w:r>
    </w:p>
    <w:p w14:paraId="0EFDB225" w14:textId="46C29E6F" w:rsidR="006C4840" w:rsidRPr="00623BA0" w:rsidRDefault="006C4840" w:rsidP="006C4840">
      <w:pPr>
        <w:spacing w:line="276" w:lineRule="auto"/>
        <w:jc w:val="both"/>
        <w:rPr>
          <w:rFonts w:ascii="Garamond" w:hAnsi="Garamond"/>
          <w:color w:val="000000"/>
          <w:sz w:val="22"/>
          <w:szCs w:val="22"/>
          <w:lang w:val="fr-FR"/>
        </w:rPr>
      </w:pPr>
      <w:r w:rsidRPr="00623BA0">
        <w:rPr>
          <w:rFonts w:ascii="Garamond" w:hAnsi="Garamond"/>
          <w:color w:val="000000"/>
          <w:sz w:val="22"/>
          <w:szCs w:val="22"/>
          <w:lang w:val="fr-FR"/>
        </w:rPr>
        <w:t>Ministère de l’Agriculture, 2006. Loi d’Orientation Agricole</w:t>
      </w:r>
      <w:r w:rsidR="00F57AAC" w:rsidRPr="00623BA0">
        <w:rPr>
          <w:rFonts w:ascii="Garamond" w:hAnsi="Garamond"/>
          <w:color w:val="000000"/>
          <w:sz w:val="22"/>
          <w:szCs w:val="22"/>
          <w:lang w:val="fr-FR"/>
        </w:rPr>
        <w:t>.</w:t>
      </w:r>
    </w:p>
    <w:p w14:paraId="4CF80612" w14:textId="05E89836" w:rsidR="00145FF5" w:rsidRPr="00623BA0" w:rsidRDefault="00145FF5" w:rsidP="00F10D0E">
      <w:pPr>
        <w:pStyle w:val="NormalWeb"/>
        <w:spacing w:before="0" w:beforeAutospacing="0" w:after="0" w:afterAutospacing="0"/>
        <w:rPr>
          <w:rFonts w:ascii="Garamond" w:hAnsi="Garamond"/>
          <w:color w:val="000000"/>
          <w:sz w:val="22"/>
          <w:szCs w:val="22"/>
          <w:lang w:val="fr-FR"/>
        </w:rPr>
      </w:pPr>
    </w:p>
    <w:p w14:paraId="177BFA1B" w14:textId="32825946" w:rsidR="005300EC" w:rsidRPr="00623BA0" w:rsidRDefault="00E80397" w:rsidP="00061DF5">
      <w:pPr>
        <w:pStyle w:val="NormalWeb"/>
        <w:spacing w:before="0" w:beforeAutospacing="0" w:after="120" w:afterAutospacing="0"/>
        <w:rPr>
          <w:rFonts w:ascii="Garamond" w:hAnsi="Garamond"/>
          <w:color w:val="000000"/>
          <w:sz w:val="22"/>
          <w:szCs w:val="22"/>
          <w:lang w:val="fr-FR"/>
        </w:rPr>
      </w:pPr>
      <w:r w:rsidRPr="00623BA0">
        <w:rPr>
          <w:rFonts w:ascii="Garamond" w:hAnsi="Garamond"/>
          <w:color w:val="000000"/>
          <w:sz w:val="22"/>
          <w:szCs w:val="22"/>
          <w:lang w:val="fr-FR"/>
        </w:rPr>
        <w:t xml:space="preserve">Ministère de l’Agriculture, </w:t>
      </w:r>
      <w:r w:rsidR="006C4840" w:rsidRPr="00623BA0">
        <w:rPr>
          <w:rFonts w:ascii="Garamond" w:hAnsi="Garamond"/>
          <w:color w:val="000000"/>
          <w:sz w:val="22"/>
          <w:szCs w:val="22"/>
          <w:lang w:val="fr-FR"/>
        </w:rPr>
        <w:t xml:space="preserve">2007. Rural </w:t>
      </w:r>
      <w:proofErr w:type="spellStart"/>
      <w:r w:rsidR="006C4840" w:rsidRPr="00623BA0">
        <w:rPr>
          <w:rFonts w:ascii="Garamond" w:hAnsi="Garamond"/>
          <w:color w:val="000000"/>
          <w:sz w:val="22"/>
          <w:szCs w:val="22"/>
          <w:lang w:val="fr-FR"/>
        </w:rPr>
        <w:t>struct</w:t>
      </w:r>
      <w:proofErr w:type="spellEnd"/>
      <w:r w:rsidR="006C4840" w:rsidRPr="00623BA0">
        <w:rPr>
          <w:rFonts w:ascii="Garamond" w:hAnsi="Garamond"/>
          <w:color w:val="000000"/>
          <w:sz w:val="22"/>
          <w:szCs w:val="22"/>
          <w:lang w:val="fr-FR"/>
        </w:rPr>
        <w:t xml:space="preserve">, Dimensions structurelles de la libéralisation pour l’agriculture et le développement rural : Programme Rural </w:t>
      </w:r>
      <w:proofErr w:type="spellStart"/>
      <w:r w:rsidR="006C4840" w:rsidRPr="00623BA0">
        <w:rPr>
          <w:rFonts w:ascii="Garamond" w:hAnsi="Garamond"/>
          <w:color w:val="000000"/>
          <w:sz w:val="22"/>
          <w:szCs w:val="22"/>
          <w:lang w:val="fr-FR"/>
        </w:rPr>
        <w:t>Struc</w:t>
      </w:r>
      <w:proofErr w:type="spellEnd"/>
      <w:r w:rsidR="006C4840" w:rsidRPr="00623BA0">
        <w:rPr>
          <w:rFonts w:ascii="Garamond" w:hAnsi="Garamond"/>
          <w:color w:val="000000"/>
          <w:sz w:val="22"/>
          <w:szCs w:val="22"/>
          <w:lang w:val="fr-FR"/>
        </w:rPr>
        <w:t xml:space="preserve"> Mali - Phase I. </w:t>
      </w:r>
    </w:p>
    <w:p w14:paraId="69F7B49F" w14:textId="528A3AC3" w:rsidR="005300EC" w:rsidRPr="00623BA0" w:rsidRDefault="005300EC" w:rsidP="00061DF5">
      <w:pPr>
        <w:pStyle w:val="NormalWeb"/>
        <w:spacing w:before="0" w:beforeAutospacing="0" w:after="120" w:afterAutospacing="0"/>
        <w:rPr>
          <w:rFonts w:ascii="Garamond" w:eastAsiaTheme="minorHAnsi" w:hAnsi="Garamond"/>
          <w:sz w:val="22"/>
          <w:szCs w:val="22"/>
          <w:lang w:val="fr-FR"/>
        </w:rPr>
      </w:pPr>
      <w:r w:rsidRPr="00623BA0">
        <w:rPr>
          <w:rFonts w:ascii="Garamond" w:eastAsiaTheme="minorHAnsi" w:hAnsi="Garamond"/>
          <w:sz w:val="22"/>
          <w:szCs w:val="22"/>
          <w:lang w:val="fr-FR"/>
        </w:rPr>
        <w:t>Ministère de l’Agriculture, 2006 à 2018. Plan de campagne agricole 2006 à 2018.</w:t>
      </w:r>
    </w:p>
    <w:p w14:paraId="06B59038" w14:textId="50ADF106" w:rsidR="00061DF5" w:rsidRPr="00623BA0" w:rsidRDefault="00061DF5" w:rsidP="00061DF5">
      <w:pPr>
        <w:pStyle w:val="MMTopic4"/>
        <w:numPr>
          <w:ilvl w:val="0"/>
          <w:numId w:val="0"/>
        </w:numPr>
        <w:spacing w:after="120"/>
        <w:jc w:val="both"/>
        <w:rPr>
          <w:rFonts w:ascii="Garamond" w:eastAsiaTheme="minorHAnsi" w:hAnsi="Garamond" w:cs="Times New Roman"/>
          <w:b w:val="0"/>
          <w:bCs w:val="0"/>
          <w:color w:val="auto"/>
          <w:lang w:val="fr-FR"/>
        </w:rPr>
      </w:pPr>
      <w:r w:rsidRPr="00623BA0">
        <w:rPr>
          <w:rFonts w:ascii="Garamond" w:eastAsiaTheme="minorHAnsi" w:hAnsi="Garamond" w:cs="Times New Roman"/>
          <w:b w:val="0"/>
          <w:bCs w:val="0"/>
          <w:color w:val="auto"/>
          <w:lang w:val="fr-FR"/>
        </w:rPr>
        <w:t>Ministère de l’Agriculture, 2017.Termes de référence de l’atelier de rationalisation de la gestion de la subvention des engrais, Bamako.</w:t>
      </w:r>
    </w:p>
    <w:p w14:paraId="76D987EC" w14:textId="60C62E34" w:rsidR="00145FF5" w:rsidRPr="00623BA0" w:rsidRDefault="005737BE" w:rsidP="00061DF5">
      <w:pPr>
        <w:pStyle w:val="NormalWeb"/>
        <w:spacing w:before="0" w:beforeAutospacing="0" w:after="120" w:afterAutospacing="0"/>
        <w:rPr>
          <w:rFonts w:ascii="Garamond" w:hAnsi="Garamond"/>
          <w:color w:val="000000"/>
          <w:sz w:val="22"/>
          <w:szCs w:val="22"/>
          <w:lang w:val="fr-FR"/>
        </w:rPr>
      </w:pPr>
      <w:r w:rsidRPr="00623BA0">
        <w:rPr>
          <w:rFonts w:ascii="Garamond" w:eastAsiaTheme="minorHAnsi" w:hAnsi="Garamond"/>
          <w:sz w:val="22"/>
          <w:szCs w:val="22"/>
          <w:lang w:val="fr-FR"/>
        </w:rPr>
        <w:t xml:space="preserve">Neveu, A., 2001. Financer l'agriculture: Quels systèmes bancaires pour </w:t>
      </w:r>
      <w:proofErr w:type="gramStart"/>
      <w:r w:rsidRPr="00623BA0">
        <w:rPr>
          <w:rFonts w:ascii="Garamond" w:eastAsiaTheme="minorHAnsi" w:hAnsi="Garamond"/>
          <w:sz w:val="22"/>
          <w:szCs w:val="22"/>
          <w:lang w:val="fr-FR"/>
        </w:rPr>
        <w:t>quelles agriculture</w:t>
      </w:r>
      <w:proofErr w:type="gramEnd"/>
      <w:r w:rsidRPr="00623BA0">
        <w:rPr>
          <w:rFonts w:ascii="Garamond" w:eastAsiaTheme="minorHAnsi" w:hAnsi="Garamond"/>
          <w:sz w:val="22"/>
          <w:szCs w:val="22"/>
          <w:lang w:val="fr-FR"/>
        </w:rPr>
        <w:t>? Paris, Charles Léopold Mayer.</w:t>
      </w:r>
      <w:r w:rsidR="00145FF5" w:rsidRPr="00623BA0">
        <w:rPr>
          <w:rFonts w:ascii="Garamond" w:eastAsiaTheme="minorHAnsi" w:hAnsi="Garamond"/>
          <w:sz w:val="22"/>
          <w:szCs w:val="22"/>
          <w:lang w:val="fr-FR"/>
        </w:rPr>
        <w:t xml:space="preserve"> </w:t>
      </w:r>
    </w:p>
    <w:p w14:paraId="6248F2B4" w14:textId="33203D39" w:rsidR="005737BE" w:rsidRPr="00623BA0" w:rsidRDefault="005737BE" w:rsidP="00145FF5">
      <w:pPr>
        <w:pStyle w:val="NormalWeb"/>
        <w:spacing w:before="0" w:beforeAutospacing="0" w:after="120" w:afterAutospacing="0"/>
        <w:rPr>
          <w:rFonts w:ascii="Garamond" w:hAnsi="Garamond"/>
          <w:color w:val="000000"/>
          <w:sz w:val="22"/>
          <w:szCs w:val="22"/>
          <w:lang w:val="fr-FR"/>
        </w:rPr>
      </w:pPr>
      <w:r w:rsidRPr="00623BA0">
        <w:rPr>
          <w:rFonts w:ascii="Garamond" w:eastAsiaTheme="minorHAnsi" w:hAnsi="Garamond"/>
          <w:sz w:val="22"/>
          <w:szCs w:val="22"/>
          <w:lang w:val="fr-FR"/>
        </w:rPr>
        <w:t>Pelon, V., 2019. Bulletin de Synthèse souveraineté alimentaire: Coup d’œil sur l’agriculture et les politiques agricoles au Mali, Janvier. (</w:t>
      </w:r>
      <w:proofErr w:type="gramStart"/>
      <w:r w:rsidRPr="00623BA0">
        <w:rPr>
          <w:rFonts w:ascii="Garamond" w:eastAsiaTheme="minorHAnsi" w:hAnsi="Garamond"/>
          <w:sz w:val="22"/>
          <w:szCs w:val="22"/>
          <w:lang w:val="fr-FR"/>
        </w:rPr>
        <w:t>www.inter-reseaux.org</w:t>
      </w:r>
      <w:proofErr w:type="gramEnd"/>
      <w:r w:rsidRPr="00623BA0">
        <w:rPr>
          <w:rFonts w:ascii="Garamond" w:eastAsiaTheme="minorHAnsi" w:hAnsi="Garamond"/>
          <w:sz w:val="22"/>
          <w:szCs w:val="22"/>
          <w:lang w:val="fr-FR"/>
        </w:rPr>
        <w:t>).</w:t>
      </w:r>
    </w:p>
    <w:p w14:paraId="0BADF766" w14:textId="7801311D" w:rsidR="005737BE" w:rsidRPr="00623BA0" w:rsidRDefault="006C4840" w:rsidP="00061DF5">
      <w:pPr>
        <w:spacing w:after="120" w:line="276" w:lineRule="auto"/>
        <w:jc w:val="both"/>
        <w:rPr>
          <w:rFonts w:ascii="Garamond" w:eastAsiaTheme="minorEastAsia" w:hAnsi="Garamond"/>
          <w:sz w:val="22"/>
          <w:szCs w:val="22"/>
          <w:lang w:val="fr-FR" w:eastAsia="fr-FR"/>
        </w:rPr>
      </w:pPr>
      <w:r w:rsidRPr="00623BA0">
        <w:rPr>
          <w:rFonts w:ascii="Garamond" w:eastAsiaTheme="minorEastAsia" w:hAnsi="Garamond"/>
          <w:sz w:val="22"/>
          <w:szCs w:val="22"/>
          <w:lang w:val="fr-FR" w:eastAsia="fr-FR"/>
        </w:rPr>
        <w:t xml:space="preserve">Theriault, V., Kergna, A., Traoré, A., Traoré, Bino, T., Smale, M., 2015. Revue de la structure de la performance de la filière engrais au Mali, Research </w:t>
      </w:r>
      <w:proofErr w:type="spellStart"/>
      <w:r w:rsidRPr="00623BA0">
        <w:rPr>
          <w:rFonts w:ascii="Garamond" w:eastAsiaTheme="minorEastAsia" w:hAnsi="Garamond"/>
          <w:sz w:val="22"/>
          <w:szCs w:val="22"/>
          <w:lang w:val="fr-FR" w:eastAsia="fr-FR"/>
        </w:rPr>
        <w:t>paper</w:t>
      </w:r>
      <w:proofErr w:type="spellEnd"/>
      <w:r w:rsidRPr="00623BA0">
        <w:rPr>
          <w:rFonts w:ascii="Garamond" w:eastAsiaTheme="minorEastAsia" w:hAnsi="Garamond"/>
          <w:sz w:val="22"/>
          <w:szCs w:val="22"/>
          <w:lang w:val="fr-FR" w:eastAsia="fr-FR"/>
        </w:rPr>
        <w:t xml:space="preserve"> 10, </w:t>
      </w:r>
      <w:proofErr w:type="spellStart"/>
      <w:r w:rsidRPr="00623BA0">
        <w:rPr>
          <w:rFonts w:ascii="Garamond" w:eastAsiaTheme="minorEastAsia" w:hAnsi="Garamond"/>
          <w:sz w:val="22"/>
          <w:szCs w:val="22"/>
          <w:lang w:val="fr-FR" w:eastAsia="fr-FR"/>
        </w:rPr>
        <w:t>Feed</w:t>
      </w:r>
      <w:proofErr w:type="spellEnd"/>
      <w:r w:rsidRPr="00623BA0">
        <w:rPr>
          <w:rFonts w:ascii="Garamond" w:eastAsiaTheme="minorEastAsia" w:hAnsi="Garamond"/>
          <w:sz w:val="22"/>
          <w:szCs w:val="22"/>
          <w:lang w:val="fr-FR" w:eastAsia="fr-FR"/>
        </w:rPr>
        <w:t xml:space="preserve"> the Future Innovation </w:t>
      </w:r>
      <w:proofErr w:type="spellStart"/>
      <w:r w:rsidRPr="00623BA0">
        <w:rPr>
          <w:rFonts w:ascii="Garamond" w:eastAsiaTheme="minorEastAsia" w:hAnsi="Garamond"/>
          <w:sz w:val="22"/>
          <w:szCs w:val="22"/>
          <w:lang w:val="fr-FR" w:eastAsia="fr-FR"/>
        </w:rPr>
        <w:t>lab</w:t>
      </w:r>
      <w:proofErr w:type="spellEnd"/>
      <w:r w:rsidRPr="00623BA0">
        <w:rPr>
          <w:rFonts w:ascii="Garamond" w:eastAsiaTheme="minorEastAsia" w:hAnsi="Garamond"/>
          <w:sz w:val="22"/>
          <w:szCs w:val="22"/>
          <w:lang w:val="fr-FR" w:eastAsia="fr-FR"/>
        </w:rPr>
        <w:t xml:space="preserve"> for Food Security Policy. </w:t>
      </w:r>
    </w:p>
    <w:p w14:paraId="023E60FD" w14:textId="77777777" w:rsidR="006C4840" w:rsidRPr="00623BA0" w:rsidRDefault="006C4840" w:rsidP="005737BE">
      <w:pPr>
        <w:pStyle w:val="NormalWeb"/>
        <w:spacing w:before="0" w:beforeAutospacing="0" w:after="0" w:afterAutospacing="0"/>
        <w:rPr>
          <w:rFonts w:ascii="Garamond" w:eastAsiaTheme="minorHAnsi" w:hAnsi="Garamond"/>
          <w:sz w:val="22"/>
          <w:szCs w:val="22"/>
          <w:lang w:val="fr-FR"/>
        </w:rPr>
      </w:pPr>
      <w:r w:rsidRPr="00623BA0">
        <w:rPr>
          <w:rFonts w:ascii="Garamond" w:eastAsiaTheme="minorHAnsi" w:hAnsi="Garamond"/>
          <w:sz w:val="22"/>
          <w:szCs w:val="22"/>
          <w:lang w:val="fr-FR"/>
        </w:rPr>
        <w:t>Unité Africaine, 2007. Cadre pour la mise en place d’un mécanisme africain de financement du développement des engrais, Département des Politiques opérationnelles et Normes, Département de l’Agriculture et Agro-industrie.</w:t>
      </w:r>
    </w:p>
    <w:p w14:paraId="1CD38881" w14:textId="27688F22" w:rsidR="006C4840" w:rsidRPr="006C4840" w:rsidRDefault="006C4840" w:rsidP="0090146F">
      <w:pPr>
        <w:spacing w:before="80"/>
        <w:jc w:val="both"/>
        <w:rPr>
          <w:rFonts w:ascii="Garamond" w:hAnsi="Garamond"/>
          <w:b/>
          <w:lang w:val="fr-FR"/>
        </w:rPr>
      </w:pPr>
    </w:p>
    <w:sectPr w:rsidR="006C4840" w:rsidRPr="006C4840" w:rsidSect="003E64D9">
      <w:endnotePr>
        <w:numFmt w:val="decimal"/>
      </w:endnotePr>
      <w:type w:val="continuous"/>
      <w:pgSz w:w="12240" w:h="15840"/>
      <w:pgMar w:top="1170" w:right="810" w:bottom="810" w:left="810" w:header="72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8DCEC" w14:textId="77777777" w:rsidR="00B530CE" w:rsidRDefault="00B530CE" w:rsidP="00B5130C">
      <w:r>
        <w:separator/>
      </w:r>
    </w:p>
  </w:endnote>
  <w:endnote w:type="continuationSeparator" w:id="0">
    <w:p w14:paraId="70EC1CF3" w14:textId="77777777" w:rsidR="00B530CE" w:rsidRDefault="00B530CE" w:rsidP="00B5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PremrPro">
    <w:panose1 w:val="00000000000000000000"/>
    <w:charset w:val="00"/>
    <w:family w:val="swiss"/>
    <w:notTrueType/>
    <w:pitch w:val="default"/>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1845993"/>
      <w:docPartObj>
        <w:docPartGallery w:val="Page Numbers (Bottom of Page)"/>
        <w:docPartUnique/>
      </w:docPartObj>
    </w:sdtPr>
    <w:sdtEndPr>
      <w:rPr>
        <w:rStyle w:val="PageNumber"/>
      </w:rPr>
    </w:sdtEndPr>
    <w:sdtContent>
      <w:p w14:paraId="1D5192C1" w14:textId="54BFDFDC" w:rsidR="000234D2" w:rsidRDefault="000234D2" w:rsidP="008F0A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05EC93" w14:textId="77777777" w:rsidR="000234D2" w:rsidRDefault="0002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ogos"/>
      <w:tblDescription w:val="Logos"/>
    </w:tblPr>
    <w:tblGrid>
      <w:gridCol w:w="3549"/>
      <w:gridCol w:w="3667"/>
      <w:gridCol w:w="3584"/>
    </w:tblGrid>
    <w:tr w:rsidR="00D1318E" w14:paraId="5EFDDB59" w14:textId="77777777" w:rsidTr="008E4CCE">
      <w:trPr>
        <w:trHeight w:val="887"/>
      </w:trPr>
      <w:tc>
        <w:tcPr>
          <w:tcW w:w="3549" w:type="dxa"/>
        </w:tcPr>
        <w:p w14:paraId="41ECA535" w14:textId="2D8FF57D" w:rsidR="00D1318E" w:rsidRDefault="00D1318E" w:rsidP="00D1318E">
          <w:pPr>
            <w:pStyle w:val="Footer"/>
            <w:tabs>
              <w:tab w:val="clear" w:pos="4680"/>
              <w:tab w:val="clear" w:pos="9360"/>
              <w:tab w:val="left" w:pos="2171"/>
            </w:tabs>
            <w:jc w:val="center"/>
          </w:pPr>
          <w:r>
            <w:rPr>
              <w:noProof/>
            </w:rPr>
            <w:drawing>
              <wp:inline distT="0" distB="0" distL="0" distR="0" wp14:anchorId="47A117F3" wp14:editId="299972C9">
                <wp:extent cx="1438275" cy="514350"/>
                <wp:effectExtent l="0" t="0" r="0" b="0"/>
                <wp:docPr id="25" name="Picture 25" descr="USAID Logo" title="USAID Logo"/>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679" cy="516640"/>
                        </a:xfrm>
                        <a:prstGeom prst="rect">
                          <a:avLst/>
                        </a:prstGeom>
                      </pic:spPr>
                    </pic:pic>
                  </a:graphicData>
                </a:graphic>
              </wp:inline>
            </w:drawing>
          </w:r>
        </w:p>
      </w:tc>
      <w:tc>
        <w:tcPr>
          <w:tcW w:w="3667" w:type="dxa"/>
        </w:tcPr>
        <w:p w14:paraId="2E8AA7CA" w14:textId="24C90491" w:rsidR="00D1318E" w:rsidRDefault="008E4CCE" w:rsidP="00D1318E">
          <w:pPr>
            <w:pStyle w:val="Footer"/>
            <w:tabs>
              <w:tab w:val="clear" w:pos="4680"/>
              <w:tab w:val="clear" w:pos="9360"/>
              <w:tab w:val="left" w:pos="2171"/>
            </w:tabs>
          </w:pPr>
          <w:r w:rsidRPr="00A85757">
            <w:rPr>
              <w:noProof/>
              <w:color w:val="FFFFFF" w:themeColor="background1"/>
            </w:rPr>
            <w:drawing>
              <wp:anchor distT="0" distB="0" distL="114300" distR="114300" simplePos="0" relativeHeight="251673600" behindDoc="0" locked="0" layoutInCell="1" allowOverlap="1" wp14:anchorId="4EC0FBA0" wp14:editId="2224AF8F">
                <wp:simplePos x="0" y="0"/>
                <wp:positionH relativeFrom="column">
                  <wp:posOffset>7097</wp:posOffset>
                </wp:positionH>
                <wp:positionV relativeFrom="paragraph">
                  <wp:posOffset>133985</wp:posOffset>
                </wp:positionV>
                <wp:extent cx="2162175" cy="557415"/>
                <wp:effectExtent l="0" t="0" r="0" b="0"/>
                <wp:wrapSquare wrapText="bothSides"/>
                <wp:docPr id="26" name="Picture 26" descr="Feed the Future Logo" title="Feed the Fu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Horizontal blue.png"/>
                        <pic:cNvPicPr/>
                      </pic:nvPicPr>
                      <pic:blipFill>
                        <a:blip r:embed="rId2">
                          <a:extLst>
                            <a:ext uri="{28A0092B-C50C-407E-A947-70E740481C1C}">
                              <a14:useLocalDpi xmlns:a14="http://schemas.microsoft.com/office/drawing/2010/main" val="0"/>
                            </a:ext>
                          </a:extLst>
                        </a:blip>
                        <a:stretch>
                          <a:fillRect/>
                        </a:stretch>
                      </pic:blipFill>
                      <pic:spPr>
                        <a:xfrm>
                          <a:off x="0" y="0"/>
                          <a:ext cx="2162175" cy="557415"/>
                        </a:xfrm>
                        <a:prstGeom prst="rect">
                          <a:avLst/>
                        </a:prstGeom>
                      </pic:spPr>
                    </pic:pic>
                  </a:graphicData>
                </a:graphic>
                <wp14:sizeRelH relativeFrom="page">
                  <wp14:pctWidth>0</wp14:pctWidth>
                </wp14:sizeRelH>
                <wp14:sizeRelV relativeFrom="page">
                  <wp14:pctHeight>0</wp14:pctHeight>
                </wp14:sizeRelV>
              </wp:anchor>
            </w:drawing>
          </w:r>
        </w:p>
      </w:tc>
      <w:tc>
        <w:tcPr>
          <w:tcW w:w="3584" w:type="dxa"/>
        </w:tcPr>
        <w:p w14:paraId="1853B971" w14:textId="77777777" w:rsidR="00D1318E" w:rsidRDefault="00D1318E" w:rsidP="00D1318E">
          <w:pPr>
            <w:pStyle w:val="Footer"/>
            <w:tabs>
              <w:tab w:val="clear" w:pos="4680"/>
              <w:tab w:val="clear" w:pos="9360"/>
              <w:tab w:val="left" w:pos="2171"/>
            </w:tabs>
            <w:jc w:val="center"/>
          </w:pPr>
          <w:r w:rsidRPr="00A26CC4">
            <w:rPr>
              <w:noProof/>
            </w:rPr>
            <w:drawing>
              <wp:inline distT="0" distB="0" distL="0" distR="0" wp14:anchorId="17668735" wp14:editId="6F5C77B0">
                <wp:extent cx="1657350" cy="546665"/>
                <wp:effectExtent l="0" t="0" r="0" b="0"/>
                <wp:docPr id="27" name="Picture 27" descr="MSU Logo" title="M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1896" cy="561358"/>
                        </a:xfrm>
                        <a:prstGeom prst="rect">
                          <a:avLst/>
                        </a:prstGeom>
                        <a:noFill/>
                        <a:ln>
                          <a:noFill/>
                        </a:ln>
                      </pic:spPr>
                    </pic:pic>
                  </a:graphicData>
                </a:graphic>
              </wp:inline>
            </w:drawing>
          </w:r>
        </w:p>
      </w:tc>
    </w:tr>
  </w:tbl>
  <w:p w14:paraId="4BD4C11E" w14:textId="7B273E0B" w:rsidR="007A23C2" w:rsidRDefault="007A23C2" w:rsidP="00CC1333">
    <w:pPr>
      <w:pStyle w:val="Footer"/>
      <w:tabs>
        <w:tab w:val="clear" w:pos="4680"/>
        <w:tab w:val="clear" w:pos="9360"/>
        <w:tab w:val="left" w:pos="217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0A96" w14:textId="77777777" w:rsidR="008E4CCE" w:rsidRDefault="008E4C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D76E" w14:textId="5C0EF7BA" w:rsidR="0013562C" w:rsidRPr="0013562C" w:rsidRDefault="00B530CE" w:rsidP="00CC6DEA">
    <w:pPr>
      <w:pStyle w:val="Footer"/>
      <w:tabs>
        <w:tab w:val="clear" w:pos="9360"/>
        <w:tab w:val="right" w:pos="10530"/>
      </w:tabs>
      <w:rPr>
        <w:b/>
        <w:color w:val="3C7E94"/>
      </w:rPr>
    </w:pPr>
    <w:sdt>
      <w:sdtPr>
        <w:rPr>
          <w:b/>
          <w:color w:val="3C7E94"/>
        </w:rPr>
        <w:id w:val="1958982132"/>
        <w:docPartObj>
          <w:docPartGallery w:val="Page Numbers (Bottom of Page)"/>
          <w:docPartUnique/>
        </w:docPartObj>
      </w:sdtPr>
      <w:sdtEndPr>
        <w:rPr>
          <w:rFonts w:ascii="Garamond" w:hAnsi="Garamond"/>
          <w:noProof/>
          <w:highlight w:val="yellow"/>
        </w:rPr>
      </w:sdtEndPr>
      <w:sdtContent>
        <w:bookmarkStart w:id="0" w:name="_GoBack"/>
        <w:r w:rsidR="0013562C" w:rsidRPr="00AB5B1C">
          <w:rPr>
            <w:rFonts w:ascii="Garamond" w:hAnsi="Garamond"/>
            <w:b/>
            <w:i/>
            <w:color w:val="3C7E94"/>
          </w:rPr>
          <w:fldChar w:fldCharType="begin"/>
        </w:r>
        <w:r w:rsidR="0013562C" w:rsidRPr="00AB5B1C">
          <w:rPr>
            <w:rFonts w:ascii="Garamond" w:hAnsi="Garamond"/>
            <w:b/>
            <w:i/>
            <w:color w:val="3C7E94"/>
          </w:rPr>
          <w:instrText xml:space="preserve"> PAGE   \* MERGEFORMAT </w:instrText>
        </w:r>
        <w:r w:rsidR="0013562C" w:rsidRPr="00AB5B1C">
          <w:rPr>
            <w:rFonts w:ascii="Garamond" w:hAnsi="Garamond"/>
            <w:b/>
            <w:i/>
            <w:color w:val="3C7E94"/>
          </w:rPr>
          <w:fldChar w:fldCharType="separate"/>
        </w:r>
        <w:r w:rsidR="008E4CCE">
          <w:rPr>
            <w:rFonts w:ascii="Garamond" w:hAnsi="Garamond"/>
            <w:b/>
            <w:i/>
            <w:noProof/>
            <w:color w:val="3C7E94"/>
          </w:rPr>
          <w:t>2</w:t>
        </w:r>
        <w:r w:rsidR="0013562C" w:rsidRPr="00AB5B1C">
          <w:rPr>
            <w:rFonts w:ascii="Garamond" w:hAnsi="Garamond"/>
            <w:b/>
            <w:i/>
            <w:noProof/>
            <w:color w:val="3C7E94"/>
          </w:rPr>
          <w:fldChar w:fldCharType="end"/>
        </w:r>
        <w:bookmarkEnd w:id="0"/>
        <w:r w:rsidR="00CC6DEA">
          <w:rPr>
            <w:rFonts w:ascii="Garamond" w:hAnsi="Garamond"/>
            <w:b/>
            <w:i/>
            <w:noProof/>
            <w:color w:val="3C7E94"/>
            <w:sz w:val="20"/>
            <w:szCs w:val="20"/>
          </w:rPr>
          <w:tab/>
        </w:r>
        <w:r w:rsidR="00CC6DEA">
          <w:rPr>
            <w:rFonts w:ascii="Garamond" w:hAnsi="Garamond"/>
            <w:b/>
            <w:i/>
            <w:noProof/>
            <w:color w:val="3C7E94"/>
            <w:sz w:val="20"/>
            <w:szCs w:val="20"/>
          </w:rPr>
          <w:tab/>
        </w:r>
        <w:r w:rsidR="00E760E1" w:rsidRPr="00AB5B1C">
          <w:rPr>
            <w:rFonts w:ascii="Garamond" w:hAnsi="Garamond"/>
            <w:b/>
            <w:i/>
            <w:noProof/>
            <w:color w:val="3C7E94"/>
          </w:rPr>
          <w:t>Bulletin politique</w:t>
        </w:r>
      </w:sdtContent>
    </w:sdt>
    <w:r w:rsidR="00AB5B1C" w:rsidRPr="00AB5B1C">
      <w:rPr>
        <w:rFonts w:ascii="Garamond" w:hAnsi="Garamond"/>
        <w:b/>
        <w:noProof/>
        <w:color w:val="3C7E94"/>
      </w:rPr>
      <w:t xml:space="preserve"> </w:t>
    </w:r>
    <w:r w:rsidR="00414648" w:rsidRPr="00AB5B1C">
      <w:rPr>
        <w:rFonts w:ascii="Garamond" w:hAnsi="Garamond"/>
        <w:b/>
        <w:noProof/>
        <w:color w:val="3C7E94"/>
      </w:rPr>
      <w:t>95</w:t>
    </w:r>
  </w:p>
  <w:p w14:paraId="694069E8" w14:textId="5FD037D9" w:rsidR="007237F1" w:rsidRDefault="00F10D0E">
    <w:pPr>
      <w:pStyle w:val="Footer"/>
    </w:pPr>
    <w:r w:rsidRPr="00396DA1">
      <w:rPr>
        <w:rFonts w:ascii="Garamond" w:hAnsi="Garamond"/>
        <w:noProof/>
      </w:rPr>
      <mc:AlternateContent>
        <mc:Choice Requires="wps">
          <w:drawing>
            <wp:anchor distT="45720" distB="45720" distL="114300" distR="114300" simplePos="0" relativeHeight="251669504" behindDoc="0" locked="0" layoutInCell="1" allowOverlap="1" wp14:anchorId="51FB67AF" wp14:editId="34C574F9">
              <wp:simplePos x="0" y="0"/>
              <wp:positionH relativeFrom="margin">
                <wp:posOffset>0</wp:posOffset>
              </wp:positionH>
              <wp:positionV relativeFrom="paragraph">
                <wp:posOffset>224790</wp:posOffset>
              </wp:positionV>
              <wp:extent cx="7067550" cy="12287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228725"/>
                      </a:xfrm>
                      <a:prstGeom prst="rect">
                        <a:avLst/>
                      </a:prstGeom>
                      <a:solidFill>
                        <a:srgbClr val="E6E7E8"/>
                      </a:solidFill>
                      <a:ln w="9525">
                        <a:noFill/>
                        <a:miter lim="800000"/>
                        <a:headEnd/>
                        <a:tailEnd/>
                      </a:ln>
                    </wps:spPr>
                    <wps:txbx>
                      <w:txbxContent>
                        <w:p w14:paraId="67AB0F43" w14:textId="77777777" w:rsidR="00F10D0E" w:rsidRPr="00414648" w:rsidRDefault="00F10D0E" w:rsidP="00F10D0E">
                          <w:pPr>
                            <w:ind w:left="432" w:hanging="432"/>
                            <w:rPr>
                              <w:rFonts w:ascii="Garamond" w:hAnsi="Garamond"/>
                              <w:i/>
                              <w:lang w:val="fr-FR"/>
                            </w:rPr>
                          </w:pPr>
                          <w:r w:rsidRPr="00414648">
                            <w:rPr>
                              <w:rFonts w:ascii="Garamond" w:hAnsi="Garamond"/>
                              <w:i/>
                              <w:lang w:val="fr-FR"/>
                            </w:rPr>
                            <w:t>Ces travaux de recherche ont été réalisés grâce au soutien généreux du peuple américain à travers l’Agence Américaine pour le Développement</w:t>
                          </w:r>
                        </w:p>
                        <w:p w14:paraId="28756617" w14:textId="77777777" w:rsidR="00F10D0E" w:rsidRPr="00414648" w:rsidRDefault="00F10D0E" w:rsidP="00F10D0E">
                          <w:pPr>
                            <w:ind w:left="432"/>
                            <w:rPr>
                              <w:rFonts w:ascii="Garamond" w:hAnsi="Garamond"/>
                              <w:i/>
                              <w:lang w:val="fr-FR"/>
                            </w:rPr>
                          </w:pPr>
                          <w:r w:rsidRPr="00414648">
                            <w:rPr>
                              <w:rFonts w:ascii="Garamond" w:hAnsi="Garamond"/>
                              <w:i/>
                              <w:lang w:val="fr-FR"/>
                            </w:rPr>
                            <w:t>International (</w:t>
                          </w:r>
                          <w:proofErr w:type="spellStart"/>
                          <w:r w:rsidRPr="00414648">
                            <w:rPr>
                              <w:rFonts w:ascii="Garamond" w:hAnsi="Garamond"/>
                              <w:i/>
                              <w:lang w:val="fr-FR"/>
                            </w:rPr>
                            <w:t>USAID</w:t>
                          </w:r>
                          <w:proofErr w:type="spellEnd"/>
                          <w:r w:rsidRPr="00414648">
                            <w:rPr>
                              <w:rFonts w:ascii="Garamond" w:hAnsi="Garamond"/>
                              <w:i/>
                              <w:lang w:val="fr-FR"/>
                            </w:rPr>
                            <w:t xml:space="preserve">) dans le cadre de l’initiative intitulée « </w:t>
                          </w:r>
                          <w:proofErr w:type="spellStart"/>
                          <w:r w:rsidRPr="00414648">
                            <w:rPr>
                              <w:rFonts w:ascii="Garamond" w:hAnsi="Garamond"/>
                              <w:i/>
                              <w:lang w:val="fr-FR"/>
                            </w:rPr>
                            <w:t>Feed</w:t>
                          </w:r>
                          <w:proofErr w:type="spellEnd"/>
                          <w:r w:rsidRPr="00414648">
                            <w:rPr>
                              <w:rFonts w:ascii="Garamond" w:hAnsi="Garamond"/>
                              <w:i/>
                              <w:lang w:val="fr-FR"/>
                            </w:rPr>
                            <w:t xml:space="preserve"> the Future ». Les auteurs assument totalement la responsabilité du contenu de cette étude qui ne reflète point les opinions de l’</w:t>
                          </w:r>
                          <w:proofErr w:type="spellStart"/>
                          <w:r w:rsidRPr="00414648">
                            <w:rPr>
                              <w:rFonts w:ascii="Garamond" w:hAnsi="Garamond"/>
                              <w:i/>
                              <w:lang w:val="fr-FR"/>
                            </w:rPr>
                            <w:t>USAID</w:t>
                          </w:r>
                          <w:proofErr w:type="spellEnd"/>
                          <w:r w:rsidRPr="00414648">
                            <w:rPr>
                              <w:rFonts w:ascii="Garamond" w:hAnsi="Garamond"/>
                              <w:i/>
                              <w:lang w:val="fr-FR"/>
                            </w:rPr>
                            <w:t xml:space="preserve"> ni du gouvernement américain.</w:t>
                          </w:r>
                        </w:p>
                        <w:p w14:paraId="3ADA57A6" w14:textId="77777777" w:rsidR="00F10D0E" w:rsidRPr="00414648" w:rsidRDefault="00F10D0E" w:rsidP="00F10D0E">
                          <w:pPr>
                            <w:ind w:left="432" w:hanging="432"/>
                            <w:rPr>
                              <w:rFonts w:ascii="Garamond" w:hAnsi="Garamond"/>
                              <w:i/>
                              <w:lang w:val="fr-FR"/>
                            </w:rPr>
                          </w:pPr>
                          <w:r w:rsidRPr="00414648">
                            <w:rPr>
                              <w:rFonts w:ascii="Garamond" w:hAnsi="Garamond"/>
                              <w:i/>
                              <w:lang w:val="fr-FR"/>
                            </w:rPr>
                            <w:t>Copyright © 2019, Michigan State University. Tous droits réservés. Ce document peut être reproduit pout utilisation à des fins personnelles ou dans le cadre d’activités à but non lucratif sans la permission de MSU, mais ce dernier doit être mentionné.</w:t>
                          </w:r>
                        </w:p>
                        <w:p w14:paraId="6561463B" w14:textId="77777777" w:rsidR="00F10D0E" w:rsidRPr="00414648" w:rsidRDefault="00F10D0E" w:rsidP="00F10D0E">
                          <w:pPr>
                            <w:ind w:left="432" w:hanging="432"/>
                            <w:rPr>
                              <w:rFonts w:ascii="Garamond" w:hAnsi="Garamond" w:cs="Gill Sans"/>
                              <w:sz w:val="20"/>
                              <w:szCs w:val="20"/>
                              <w:lang w:val="fr-FR"/>
                            </w:rPr>
                          </w:pPr>
                          <w:r w:rsidRPr="00414648">
                            <w:rPr>
                              <w:rFonts w:ascii="Garamond" w:hAnsi="Garamond"/>
                              <w:i/>
                              <w:lang w:val="fr-FR"/>
                            </w:rPr>
                            <w:t xml:space="preserve">Publié par le Département d’économie agricole, alimentaire et des ressources naturelles, Michigan State University, Justin S. </w:t>
                          </w:r>
                          <w:proofErr w:type="spellStart"/>
                          <w:r w:rsidRPr="00414648">
                            <w:rPr>
                              <w:rFonts w:ascii="Garamond" w:hAnsi="Garamond"/>
                              <w:i/>
                              <w:lang w:val="fr-FR"/>
                            </w:rPr>
                            <w:t>Morrill</w:t>
                          </w:r>
                          <w:proofErr w:type="spellEnd"/>
                          <w:r w:rsidRPr="00414648">
                            <w:rPr>
                              <w:rFonts w:ascii="Garamond" w:hAnsi="Garamond"/>
                              <w:i/>
                              <w:lang w:val="fr-FR"/>
                            </w:rPr>
                            <w:t xml:space="preserve"> Hall of Agriculture, 446 West Circle Dr., Room 202, East Lansing, Michigan 48824, USA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B67AF" id="_x0000_t202" coordsize="21600,21600" o:spt="202" path="m,l,21600r21600,l21600,xe">
              <v:stroke joinstyle="miter"/>
              <v:path gradientshapeok="t" o:connecttype="rect"/>
            </v:shapetype>
            <v:shape id="_x0000_s1029" type="#_x0000_t202" style="position:absolute;margin-left:0;margin-top:17.7pt;width:556.5pt;height:96.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" fillcolor="#e6e7e8" stroked="f">
              <v:textbox>
                <w:txbxContent>
                  <w:p w14:paraId="67AB0F43" w14:textId="77777777" w:rsidR="00F10D0E" w:rsidRPr="00414648" w:rsidRDefault="00F10D0E" w:rsidP="00F10D0E">
                    <w:pPr>
                      <w:ind w:left="432" w:hanging="432"/>
                      <w:rPr>
                        <w:rFonts w:ascii="Garamond" w:hAnsi="Garamond"/>
                        <w:i/>
                        <w:lang w:val="fr-FR"/>
                      </w:rPr>
                    </w:pPr>
                    <w:r w:rsidRPr="00414648">
                      <w:rPr>
                        <w:rFonts w:ascii="Garamond" w:hAnsi="Garamond"/>
                        <w:i/>
                        <w:lang w:val="fr-FR"/>
                      </w:rPr>
                      <w:t>Ces travaux de recherche ont été réalisés grâce au soutien généreux du peuple américain à travers l’Agence Américaine pour le Développement</w:t>
                    </w:r>
                  </w:p>
                  <w:p w14:paraId="28756617" w14:textId="77777777" w:rsidR="00F10D0E" w:rsidRPr="00414648" w:rsidRDefault="00F10D0E" w:rsidP="00F10D0E">
                    <w:pPr>
                      <w:ind w:left="432"/>
                      <w:rPr>
                        <w:rFonts w:ascii="Garamond" w:hAnsi="Garamond"/>
                        <w:i/>
                        <w:lang w:val="fr-FR"/>
                      </w:rPr>
                    </w:pPr>
                    <w:r w:rsidRPr="00414648">
                      <w:rPr>
                        <w:rFonts w:ascii="Garamond" w:hAnsi="Garamond"/>
                        <w:i/>
                        <w:lang w:val="fr-FR"/>
                      </w:rPr>
                      <w:t>International (</w:t>
                    </w:r>
                    <w:proofErr w:type="spellStart"/>
                    <w:r w:rsidRPr="00414648">
                      <w:rPr>
                        <w:rFonts w:ascii="Garamond" w:hAnsi="Garamond"/>
                        <w:i/>
                        <w:lang w:val="fr-FR"/>
                      </w:rPr>
                      <w:t>USAID</w:t>
                    </w:r>
                    <w:proofErr w:type="spellEnd"/>
                    <w:r w:rsidRPr="00414648">
                      <w:rPr>
                        <w:rFonts w:ascii="Garamond" w:hAnsi="Garamond"/>
                        <w:i/>
                        <w:lang w:val="fr-FR"/>
                      </w:rPr>
                      <w:t xml:space="preserve">) dans le cadre de l’initiative intitulée « </w:t>
                    </w:r>
                    <w:proofErr w:type="spellStart"/>
                    <w:r w:rsidRPr="00414648">
                      <w:rPr>
                        <w:rFonts w:ascii="Garamond" w:hAnsi="Garamond"/>
                        <w:i/>
                        <w:lang w:val="fr-FR"/>
                      </w:rPr>
                      <w:t>Feed</w:t>
                    </w:r>
                    <w:proofErr w:type="spellEnd"/>
                    <w:r w:rsidRPr="00414648">
                      <w:rPr>
                        <w:rFonts w:ascii="Garamond" w:hAnsi="Garamond"/>
                        <w:i/>
                        <w:lang w:val="fr-FR"/>
                      </w:rPr>
                      <w:t xml:space="preserve"> the Future ». Les auteurs assument totalement la responsabilité du contenu de cette étude qui ne reflète point les opinions de l’</w:t>
                    </w:r>
                    <w:proofErr w:type="spellStart"/>
                    <w:r w:rsidRPr="00414648">
                      <w:rPr>
                        <w:rFonts w:ascii="Garamond" w:hAnsi="Garamond"/>
                        <w:i/>
                        <w:lang w:val="fr-FR"/>
                      </w:rPr>
                      <w:t>USAID</w:t>
                    </w:r>
                    <w:proofErr w:type="spellEnd"/>
                    <w:r w:rsidRPr="00414648">
                      <w:rPr>
                        <w:rFonts w:ascii="Garamond" w:hAnsi="Garamond"/>
                        <w:i/>
                        <w:lang w:val="fr-FR"/>
                      </w:rPr>
                      <w:t xml:space="preserve"> ni du gouvernement américain.</w:t>
                    </w:r>
                  </w:p>
                  <w:p w14:paraId="3ADA57A6" w14:textId="77777777" w:rsidR="00F10D0E" w:rsidRPr="00414648" w:rsidRDefault="00F10D0E" w:rsidP="00F10D0E">
                    <w:pPr>
                      <w:ind w:left="432" w:hanging="432"/>
                      <w:rPr>
                        <w:rFonts w:ascii="Garamond" w:hAnsi="Garamond"/>
                        <w:i/>
                        <w:lang w:val="fr-FR"/>
                      </w:rPr>
                    </w:pPr>
                    <w:r w:rsidRPr="00414648">
                      <w:rPr>
                        <w:rFonts w:ascii="Garamond" w:hAnsi="Garamond"/>
                        <w:i/>
                        <w:lang w:val="fr-FR"/>
                      </w:rPr>
                      <w:t>Copyright © 2019, Michigan State University. Tous droits réservés. Ce document peut être reproduit pout utilisation à des fins personnelles ou dans le cadre d’activités à but non lucratif sans la permission de MSU, mais ce dernier doit être mentionné.</w:t>
                    </w:r>
                  </w:p>
                  <w:p w14:paraId="6561463B" w14:textId="77777777" w:rsidR="00F10D0E" w:rsidRPr="00414648" w:rsidRDefault="00F10D0E" w:rsidP="00F10D0E">
                    <w:pPr>
                      <w:ind w:left="432" w:hanging="432"/>
                      <w:rPr>
                        <w:rFonts w:ascii="Garamond" w:hAnsi="Garamond" w:cs="Gill Sans"/>
                        <w:sz w:val="20"/>
                        <w:szCs w:val="20"/>
                        <w:lang w:val="fr-FR"/>
                      </w:rPr>
                    </w:pPr>
                    <w:r w:rsidRPr="00414648">
                      <w:rPr>
                        <w:rFonts w:ascii="Garamond" w:hAnsi="Garamond"/>
                        <w:i/>
                        <w:lang w:val="fr-FR"/>
                      </w:rPr>
                      <w:t xml:space="preserve">Publié par le Département d’économie agricole, alimentaire et des ressources naturelles, Michigan State University, Justin S. </w:t>
                    </w:r>
                    <w:proofErr w:type="spellStart"/>
                    <w:r w:rsidRPr="00414648">
                      <w:rPr>
                        <w:rFonts w:ascii="Garamond" w:hAnsi="Garamond"/>
                        <w:i/>
                        <w:lang w:val="fr-FR"/>
                      </w:rPr>
                      <w:t>Morrill</w:t>
                    </w:r>
                    <w:proofErr w:type="spellEnd"/>
                    <w:r w:rsidRPr="00414648">
                      <w:rPr>
                        <w:rFonts w:ascii="Garamond" w:hAnsi="Garamond"/>
                        <w:i/>
                        <w:lang w:val="fr-FR"/>
                      </w:rPr>
                      <w:t xml:space="preserve"> Hall of Agriculture, 446 West Circle Dr., Room 202, East Lansing, Michigan 48824, USA</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3C7E94"/>
      </w:rPr>
      <w:id w:val="1033312642"/>
      <w:docPartObj>
        <w:docPartGallery w:val="Page Numbers (Bottom of Page)"/>
        <w:docPartUnique/>
      </w:docPartObj>
    </w:sdtPr>
    <w:sdtEndPr>
      <w:rPr>
        <w:noProof/>
      </w:rPr>
    </w:sdtEndPr>
    <w:sdtContent>
      <w:p w14:paraId="51A57B1D" w14:textId="77777777" w:rsidR="0013562C" w:rsidRPr="0013562C" w:rsidRDefault="0013562C">
        <w:pPr>
          <w:pStyle w:val="Footer"/>
          <w:jc w:val="center"/>
          <w:rPr>
            <w:b/>
            <w:color w:val="3C7E94"/>
          </w:rPr>
        </w:pPr>
        <w:r w:rsidRPr="0013562C">
          <w:rPr>
            <w:b/>
            <w:color w:val="3C7E94"/>
          </w:rPr>
          <w:fldChar w:fldCharType="begin"/>
        </w:r>
        <w:r w:rsidRPr="0013562C">
          <w:rPr>
            <w:b/>
            <w:color w:val="3C7E94"/>
          </w:rPr>
          <w:instrText xml:space="preserve"> PAGE   \* MERGEFORMAT </w:instrText>
        </w:r>
        <w:r w:rsidRPr="0013562C">
          <w:rPr>
            <w:b/>
            <w:color w:val="3C7E94"/>
          </w:rPr>
          <w:fldChar w:fldCharType="separate"/>
        </w:r>
        <w:r w:rsidR="00C37126">
          <w:rPr>
            <w:b/>
            <w:noProof/>
            <w:color w:val="3C7E94"/>
          </w:rPr>
          <w:t>2</w:t>
        </w:r>
        <w:r w:rsidRPr="0013562C">
          <w:rPr>
            <w:b/>
            <w:noProof/>
            <w:color w:val="3C7E94"/>
          </w:rPr>
          <w:fldChar w:fldCharType="end"/>
        </w:r>
      </w:p>
    </w:sdtContent>
  </w:sdt>
  <w:p w14:paraId="5470E365" w14:textId="77777777" w:rsidR="0013562C" w:rsidRDefault="0013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3539" w14:textId="77777777" w:rsidR="00B530CE" w:rsidRDefault="00B530CE" w:rsidP="00B5130C">
      <w:r>
        <w:separator/>
      </w:r>
    </w:p>
  </w:footnote>
  <w:footnote w:type="continuationSeparator" w:id="0">
    <w:p w14:paraId="40B2CCFE" w14:textId="77777777" w:rsidR="00B530CE" w:rsidRDefault="00B530CE" w:rsidP="00B5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14F5" w14:textId="77777777" w:rsidR="008E4CCE" w:rsidRDefault="008E4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374" w:type="dxa"/>
      <w:tblInd w:w="-725" w:type="dxa"/>
      <w:tblLook w:val="04A0" w:firstRow="1" w:lastRow="0" w:firstColumn="1" w:lastColumn="0" w:noHBand="0" w:noVBand="1"/>
    </w:tblPr>
    <w:tblGrid>
      <w:gridCol w:w="12374"/>
    </w:tblGrid>
    <w:tr w:rsidR="00561BE4" w14:paraId="09B30561" w14:textId="77777777" w:rsidTr="00E760E1">
      <w:trPr>
        <w:trHeight w:val="1306"/>
      </w:trPr>
      <w:tc>
        <w:tcPr>
          <w:tcW w:w="12374" w:type="dxa"/>
          <w:tcBorders>
            <w:top w:val="nil"/>
            <w:left w:val="nil"/>
            <w:bottom w:val="nil"/>
            <w:right w:val="nil"/>
          </w:tcBorders>
          <w:shd w:val="clear" w:color="auto" w:fill="4799B5"/>
        </w:tcPr>
        <w:p w14:paraId="7B83853D" w14:textId="77777777" w:rsidR="00561BE4" w:rsidRPr="00CC6DEA" w:rsidRDefault="00561BE4" w:rsidP="00561BE4">
          <w:pPr>
            <w:pStyle w:val="Header"/>
            <w:tabs>
              <w:tab w:val="clear" w:pos="4680"/>
              <w:tab w:val="clear" w:pos="9360"/>
              <w:tab w:val="center" w:pos="0"/>
              <w:tab w:val="right" w:pos="12240"/>
            </w:tabs>
            <w:jc w:val="center"/>
            <w:rPr>
              <w:rFonts w:ascii="Garamond" w:hAnsi="Garamond"/>
              <w:b/>
              <w:noProof/>
              <w:color w:val="FFFFFF" w:themeColor="background1"/>
              <w:sz w:val="40"/>
              <w:szCs w:val="36"/>
            </w:rPr>
          </w:pPr>
        </w:p>
        <w:p w14:paraId="7F9B73B6" w14:textId="77777777" w:rsidR="00561BE4" w:rsidRPr="00CC6DEA" w:rsidRDefault="00561BE4" w:rsidP="00561BE4">
          <w:pPr>
            <w:pStyle w:val="Header"/>
            <w:tabs>
              <w:tab w:val="clear" w:pos="4680"/>
              <w:tab w:val="clear" w:pos="9360"/>
              <w:tab w:val="center" w:pos="0"/>
              <w:tab w:val="left" w:pos="1728"/>
              <w:tab w:val="right" w:pos="12240"/>
            </w:tabs>
            <w:jc w:val="center"/>
            <w:rPr>
              <w:rFonts w:ascii="Garamond" w:hAnsi="Garamond"/>
              <w:b/>
              <w:noProof/>
              <w:color w:val="FFFFFF" w:themeColor="background1"/>
              <w:sz w:val="40"/>
              <w:szCs w:val="36"/>
            </w:rPr>
          </w:pPr>
          <w:r w:rsidRPr="00CC6DEA">
            <w:rPr>
              <w:rFonts w:ascii="Garamond" w:hAnsi="Garamond"/>
              <w:b/>
              <w:noProof/>
              <w:color w:val="FFFFFF" w:themeColor="background1"/>
              <w:sz w:val="40"/>
              <w:szCs w:val="36"/>
            </w:rPr>
            <w:t>Feed the Future Innovation Lab for Food Security Policy</w:t>
          </w:r>
        </w:p>
      </w:tc>
    </w:tr>
    <w:tr w:rsidR="00561BE4" w14:paraId="054893B9" w14:textId="77777777" w:rsidTr="00E760E1">
      <w:trPr>
        <w:trHeight w:val="450"/>
      </w:trPr>
      <w:tc>
        <w:tcPr>
          <w:tcW w:w="12374" w:type="dxa"/>
          <w:tcBorders>
            <w:top w:val="nil"/>
            <w:left w:val="nil"/>
            <w:bottom w:val="nil"/>
            <w:right w:val="nil"/>
          </w:tcBorders>
          <w:shd w:val="clear" w:color="auto" w:fill="D37D28"/>
          <w:vAlign w:val="center"/>
        </w:tcPr>
        <w:p w14:paraId="33E2223F" w14:textId="2A64F03F" w:rsidR="00561BE4" w:rsidRPr="00CC6DEA" w:rsidRDefault="002818B7" w:rsidP="00E53922">
          <w:pPr>
            <w:ind w:left="560" w:right="900" w:firstLine="720"/>
            <w:rPr>
              <w:rFonts w:ascii="Garamond" w:hAnsi="Garamond" w:cs="Gill Sans"/>
              <w:b/>
              <w:color w:val="4799B5"/>
              <w:sz w:val="32"/>
              <w:szCs w:val="26"/>
            </w:rPr>
          </w:pPr>
          <w:r>
            <w:rPr>
              <w:rFonts w:ascii="Garamond" w:hAnsi="Garamond" w:cs="Gill Sans"/>
              <w:b/>
              <w:color w:val="FFFFFF" w:themeColor="background1"/>
              <w:sz w:val="32"/>
              <w:szCs w:val="26"/>
            </w:rPr>
            <w:t xml:space="preserve">Bulletin </w:t>
          </w:r>
          <w:proofErr w:type="spellStart"/>
          <w:r w:rsidR="00E53922">
            <w:rPr>
              <w:rFonts w:ascii="Garamond" w:hAnsi="Garamond" w:cs="Gill Sans"/>
              <w:b/>
              <w:color w:val="FFFFFF" w:themeColor="background1"/>
              <w:sz w:val="32"/>
              <w:szCs w:val="26"/>
            </w:rPr>
            <w:t>p</w:t>
          </w:r>
          <w:r w:rsidR="00561BE4" w:rsidRPr="00361C87">
            <w:rPr>
              <w:rFonts w:ascii="Garamond" w:hAnsi="Garamond" w:cs="Gill Sans"/>
              <w:b/>
              <w:color w:val="FFFFFF" w:themeColor="background1"/>
              <w:sz w:val="32"/>
              <w:szCs w:val="26"/>
            </w:rPr>
            <w:t>oli</w:t>
          </w:r>
          <w:r w:rsidR="008A79D0">
            <w:rPr>
              <w:rFonts w:ascii="Garamond" w:hAnsi="Garamond" w:cs="Gill Sans"/>
              <w:b/>
              <w:color w:val="FFFFFF" w:themeColor="background1"/>
              <w:sz w:val="32"/>
              <w:szCs w:val="26"/>
            </w:rPr>
            <w:t>ti</w:t>
          </w:r>
          <w:r>
            <w:rPr>
              <w:rFonts w:ascii="Garamond" w:hAnsi="Garamond" w:cs="Gill Sans"/>
              <w:b/>
              <w:color w:val="FFFFFF" w:themeColor="background1"/>
              <w:sz w:val="32"/>
              <w:szCs w:val="26"/>
            </w:rPr>
            <w:t>que</w:t>
          </w:r>
          <w:proofErr w:type="spellEnd"/>
          <w:r w:rsidR="00B823E1">
            <w:rPr>
              <w:rFonts w:ascii="Garamond" w:hAnsi="Garamond" w:cs="Gill Sans"/>
              <w:b/>
              <w:color w:val="FFFFFF" w:themeColor="background1"/>
              <w:sz w:val="32"/>
              <w:szCs w:val="26"/>
            </w:rPr>
            <w:t xml:space="preserve"> </w:t>
          </w:r>
          <w:r w:rsidR="00414648">
            <w:rPr>
              <w:rFonts w:ascii="Garamond" w:hAnsi="Garamond" w:cs="Gill Sans"/>
              <w:b/>
              <w:color w:val="FFFFFF" w:themeColor="background1"/>
              <w:sz w:val="32"/>
              <w:szCs w:val="26"/>
            </w:rPr>
            <w:t>95</w:t>
          </w:r>
          <w:r w:rsidR="00561BE4" w:rsidRPr="00361C87">
            <w:rPr>
              <w:rFonts w:ascii="Garamond" w:hAnsi="Garamond" w:cs="Gill Sans"/>
              <w:b/>
              <w:color w:val="FFFFFF" w:themeColor="background1"/>
              <w:sz w:val="32"/>
              <w:szCs w:val="26"/>
            </w:rPr>
            <w:tab/>
          </w:r>
          <w:r w:rsidR="00504D07">
            <w:rPr>
              <w:rFonts w:ascii="Garamond" w:hAnsi="Garamond" w:cs="Gill Sans"/>
              <w:b/>
              <w:color w:val="FFFFFF" w:themeColor="background1"/>
              <w:sz w:val="32"/>
              <w:szCs w:val="26"/>
            </w:rPr>
            <w:t xml:space="preserve">                        </w:t>
          </w:r>
          <w:r w:rsidR="00716431">
            <w:rPr>
              <w:rFonts w:ascii="Garamond" w:hAnsi="Garamond" w:cs="Gill Sans"/>
              <w:b/>
              <w:color w:val="FFFFFF" w:themeColor="background1"/>
              <w:sz w:val="32"/>
              <w:szCs w:val="26"/>
            </w:rPr>
            <w:t xml:space="preserve">        </w:t>
          </w:r>
          <w:r w:rsidR="00E53922">
            <w:rPr>
              <w:rFonts w:ascii="Garamond" w:hAnsi="Garamond" w:cs="Gill Sans"/>
              <w:b/>
              <w:color w:val="FFFFFF" w:themeColor="background1"/>
              <w:sz w:val="32"/>
              <w:szCs w:val="26"/>
            </w:rPr>
            <w:t xml:space="preserve">                            Avril</w:t>
          </w:r>
          <w:r>
            <w:rPr>
              <w:rFonts w:ascii="Garamond" w:hAnsi="Garamond" w:cs="Gill Sans"/>
              <w:b/>
              <w:color w:val="FFFFFF" w:themeColor="background1"/>
              <w:sz w:val="32"/>
              <w:szCs w:val="26"/>
            </w:rPr>
            <w:t xml:space="preserve"> </w:t>
          </w:r>
          <w:r w:rsidR="00716431">
            <w:rPr>
              <w:rFonts w:ascii="Garamond" w:hAnsi="Garamond" w:cs="Gill Sans"/>
              <w:b/>
              <w:color w:val="FFFFFF" w:themeColor="background1"/>
              <w:sz w:val="32"/>
              <w:szCs w:val="26"/>
            </w:rPr>
            <w:t>2019</w:t>
          </w:r>
        </w:p>
      </w:tc>
    </w:tr>
  </w:tbl>
  <w:p w14:paraId="4C57C299" w14:textId="77777777" w:rsidR="00561BE4" w:rsidRDefault="00561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E395" w14:textId="77777777" w:rsidR="00160CD3" w:rsidRDefault="00160CD3">
    <w:pPr>
      <w:pStyle w:val="Header"/>
    </w:pPr>
    <w:r w:rsidRPr="00671E0D">
      <w:rPr>
        <w:noProof/>
      </w:rPr>
      <mc:AlternateContent>
        <mc:Choice Requires="wps">
          <w:drawing>
            <wp:anchor distT="0" distB="0" distL="114300" distR="114300" simplePos="0" relativeHeight="251652096" behindDoc="0" locked="0" layoutInCell="1" allowOverlap="1" wp14:anchorId="4E5BF163" wp14:editId="38483E61">
              <wp:simplePos x="0" y="0"/>
              <wp:positionH relativeFrom="column">
                <wp:posOffset>-914400</wp:posOffset>
              </wp:positionH>
              <wp:positionV relativeFrom="paragraph">
                <wp:posOffset>-457200</wp:posOffset>
              </wp:positionV>
              <wp:extent cx="9144000" cy="685800"/>
              <wp:effectExtent l="0" t="0" r="0" b="0"/>
              <wp:wrapNone/>
              <wp:docPr id="20" name="Rectangle 16"/>
              <wp:cNvGraphicFramePr/>
              <a:graphic xmlns:a="http://schemas.openxmlformats.org/drawingml/2006/main">
                <a:graphicData uri="http://schemas.microsoft.com/office/word/2010/wordprocessingShape">
                  <wps:wsp>
                    <wps:cNvSpPr/>
                    <wps:spPr>
                      <a:xfrm>
                        <a:off x="0" y="0"/>
                        <a:ext cx="9144000" cy="685800"/>
                      </a:xfrm>
                      <a:prstGeom prst="rect">
                        <a:avLst/>
                      </a:prstGeom>
                      <a:solidFill>
                        <a:srgbClr val="3A77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6408DD" id="Rectangle 16" o:spid="_x0000_s1026" style="position:absolute;margin-left:-1in;margin-top:-36pt;width:10in;height:5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" fillcolor="#3a778c" stroked="f"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374" w:type="dxa"/>
      <w:tblInd w:w="-725" w:type="dxa"/>
      <w:tblLook w:val="04A0" w:firstRow="1" w:lastRow="0" w:firstColumn="1" w:lastColumn="0" w:noHBand="0" w:noVBand="1"/>
    </w:tblPr>
    <w:tblGrid>
      <w:gridCol w:w="12374"/>
    </w:tblGrid>
    <w:tr w:rsidR="00105EF7" w14:paraId="4C959963" w14:textId="77777777" w:rsidTr="00105EF7">
      <w:trPr>
        <w:trHeight w:val="450"/>
      </w:trPr>
      <w:tc>
        <w:tcPr>
          <w:tcW w:w="12374" w:type="dxa"/>
          <w:tcBorders>
            <w:top w:val="nil"/>
            <w:left w:val="nil"/>
            <w:bottom w:val="nil"/>
            <w:right w:val="nil"/>
          </w:tcBorders>
          <w:shd w:val="clear" w:color="auto" w:fill="D37D28"/>
          <w:vAlign w:val="center"/>
        </w:tcPr>
        <w:p w14:paraId="55161E4F" w14:textId="55E36304" w:rsidR="00105EF7" w:rsidRPr="00CC6DEA" w:rsidRDefault="00105EF7" w:rsidP="00105EF7">
          <w:pPr>
            <w:ind w:left="560" w:right="900" w:firstLine="720"/>
            <w:rPr>
              <w:rFonts w:ascii="Garamond" w:hAnsi="Garamond" w:cs="Gill Sans"/>
              <w:b/>
              <w:color w:val="4799B5"/>
              <w:sz w:val="32"/>
              <w:szCs w:val="26"/>
            </w:rPr>
          </w:pPr>
          <w:r>
            <w:rPr>
              <w:rFonts w:ascii="Garamond" w:hAnsi="Garamond" w:cs="Gill Sans"/>
              <w:b/>
              <w:color w:val="FFFFFF" w:themeColor="background1"/>
              <w:sz w:val="32"/>
              <w:szCs w:val="26"/>
            </w:rPr>
            <w:t xml:space="preserve">Bulletin </w:t>
          </w:r>
          <w:proofErr w:type="spellStart"/>
          <w:r>
            <w:rPr>
              <w:rFonts w:ascii="Garamond" w:hAnsi="Garamond" w:cs="Gill Sans"/>
              <w:b/>
              <w:color w:val="FFFFFF" w:themeColor="background1"/>
              <w:sz w:val="32"/>
              <w:szCs w:val="26"/>
            </w:rPr>
            <w:t>p</w:t>
          </w:r>
          <w:r w:rsidRPr="00361C87">
            <w:rPr>
              <w:rFonts w:ascii="Garamond" w:hAnsi="Garamond" w:cs="Gill Sans"/>
              <w:b/>
              <w:color w:val="FFFFFF" w:themeColor="background1"/>
              <w:sz w:val="32"/>
              <w:szCs w:val="26"/>
            </w:rPr>
            <w:t>oli</w:t>
          </w:r>
          <w:r>
            <w:rPr>
              <w:rFonts w:ascii="Garamond" w:hAnsi="Garamond" w:cs="Gill Sans"/>
              <w:b/>
              <w:color w:val="FFFFFF" w:themeColor="background1"/>
              <w:sz w:val="32"/>
              <w:szCs w:val="26"/>
            </w:rPr>
            <w:t>tique</w:t>
          </w:r>
          <w:proofErr w:type="spellEnd"/>
          <w:r>
            <w:rPr>
              <w:rFonts w:ascii="Garamond" w:hAnsi="Garamond" w:cs="Gill Sans"/>
              <w:b/>
              <w:color w:val="FFFFFF" w:themeColor="background1"/>
              <w:sz w:val="32"/>
              <w:szCs w:val="26"/>
            </w:rPr>
            <w:t xml:space="preserve"> #</w:t>
          </w:r>
          <w:r w:rsidRPr="00361C87">
            <w:rPr>
              <w:rFonts w:ascii="Garamond" w:hAnsi="Garamond" w:cs="Gill Sans"/>
              <w:b/>
              <w:color w:val="FFFFFF" w:themeColor="background1"/>
              <w:sz w:val="32"/>
              <w:szCs w:val="26"/>
            </w:rPr>
            <w:tab/>
          </w:r>
          <w:r>
            <w:rPr>
              <w:rFonts w:ascii="Garamond" w:hAnsi="Garamond" w:cs="Gill Sans"/>
              <w:b/>
              <w:color w:val="FFFFFF" w:themeColor="background1"/>
              <w:sz w:val="32"/>
              <w:szCs w:val="26"/>
            </w:rPr>
            <w:t xml:space="preserve">                                                            Avril 2019</w:t>
          </w:r>
        </w:p>
      </w:tc>
    </w:tr>
  </w:tbl>
  <w:p w14:paraId="222A38E4" w14:textId="0F5A6DF8" w:rsidR="00105EF7" w:rsidRDefault="00D66392" w:rsidP="00105EF7">
    <w:pPr>
      <w:pStyle w:val="Header"/>
    </w:pPr>
    <w:r w:rsidRPr="00671E0D">
      <w:rPr>
        <w:noProof/>
      </w:rPr>
      <mc:AlternateContent>
        <mc:Choice Requires="wps">
          <w:drawing>
            <wp:anchor distT="0" distB="0" distL="114300" distR="114300" simplePos="0" relativeHeight="251667456" behindDoc="0" locked="0" layoutInCell="1" allowOverlap="1" wp14:anchorId="468DD9CB" wp14:editId="6DA89A4F">
              <wp:simplePos x="0" y="0"/>
              <wp:positionH relativeFrom="column">
                <wp:posOffset>-433556</wp:posOffset>
              </wp:positionH>
              <wp:positionV relativeFrom="paragraph">
                <wp:posOffset>-733836</wp:posOffset>
              </wp:positionV>
              <wp:extent cx="7806055" cy="465044"/>
              <wp:effectExtent l="0" t="0" r="4445" b="5080"/>
              <wp:wrapNone/>
              <wp:docPr id="7" name="Rectangle 16"/>
              <wp:cNvGraphicFramePr/>
              <a:graphic xmlns:a="http://schemas.openxmlformats.org/drawingml/2006/main">
                <a:graphicData uri="http://schemas.microsoft.com/office/word/2010/wordprocessingShape">
                  <wps:wsp>
                    <wps:cNvSpPr/>
                    <wps:spPr>
                      <a:xfrm>
                        <a:off x="0" y="0"/>
                        <a:ext cx="7806055" cy="465044"/>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4915E" w14:textId="6B2D73F8" w:rsidR="00C37126" w:rsidRPr="00DC72EA" w:rsidRDefault="008C2271" w:rsidP="00C37126">
                          <w:pPr>
                            <w:rPr>
                              <w:rFonts w:ascii="Garamond" w:hAnsi="Garamond" w:cs="Gill Sans"/>
                              <w:b/>
                              <w:i/>
                              <w:sz w:val="28"/>
                            </w:rPr>
                          </w:pPr>
                          <w:r>
                            <w:rPr>
                              <w:rFonts w:ascii="Gill Sans" w:hAnsi="Gill Sans" w:cs="Gill Sans"/>
                              <w:b/>
                              <w:i/>
                              <w:sz w:val="26"/>
                            </w:rPr>
                            <w:t xml:space="preserve">    </w:t>
                          </w:r>
                          <w:r w:rsidRPr="00DC72EA">
                            <w:rPr>
                              <w:rFonts w:ascii="Garamond" w:hAnsi="Garamond" w:cs="Gill Sans"/>
                              <w:b/>
                              <w:i/>
                              <w:sz w:val="28"/>
                            </w:rPr>
                            <w:t xml:space="preserve"> </w:t>
                          </w:r>
                          <w:r w:rsidR="00105EF7" w:rsidRPr="00CC6DEA">
                            <w:rPr>
                              <w:rFonts w:ascii="Garamond" w:hAnsi="Garamond"/>
                              <w:b/>
                              <w:noProof/>
                              <w:color w:val="FFFFFF" w:themeColor="background1"/>
                              <w:sz w:val="40"/>
                              <w:szCs w:val="36"/>
                            </w:rPr>
                            <w:t>Feed the Future Innovation Lab for Food Security Policy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68DD9CB" id="Rectangle 16" o:spid="_x0000_s1028" style="position:absolute;margin-left:-34.15pt;margin-top:-57.8pt;width:614.65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" fillcolor="#4799b5" stroked="f" strokeweight="1.5pt">
              <v:textbox>
                <w:txbxContent>
                  <w:p w14:paraId="2214915E" w14:textId="6B2D73F8" w:rsidR="00C37126" w:rsidRPr="00DC72EA" w:rsidRDefault="008C2271" w:rsidP="00C37126">
                    <w:pPr>
                      <w:rPr>
                        <w:rFonts w:ascii="Garamond" w:hAnsi="Garamond" w:cs="Gill Sans"/>
                        <w:b/>
                        <w:i/>
                        <w:sz w:val="28"/>
                      </w:rPr>
                    </w:pPr>
                    <w:r>
                      <w:rPr>
                        <w:rFonts w:ascii="Gill Sans" w:hAnsi="Gill Sans" w:cs="Gill Sans"/>
                        <w:b/>
                        <w:i/>
                        <w:sz w:val="26"/>
                      </w:rPr>
                      <w:t xml:space="preserve">    </w:t>
                    </w:r>
                    <w:r w:rsidRPr="00DC72EA">
                      <w:rPr>
                        <w:rFonts w:ascii="Garamond" w:hAnsi="Garamond" w:cs="Gill Sans"/>
                        <w:b/>
                        <w:i/>
                        <w:sz w:val="28"/>
                      </w:rPr>
                      <w:t xml:space="preserve"> </w:t>
                    </w:r>
                    <w:r w:rsidR="00105EF7" w:rsidRPr="00CC6DEA">
                      <w:rPr>
                        <w:rFonts w:ascii="Garamond" w:hAnsi="Garamond"/>
                        <w:b/>
                        <w:noProof/>
                        <w:color w:val="FFFFFF" w:themeColor="background1"/>
                        <w:sz w:val="40"/>
                        <w:szCs w:val="36"/>
                      </w:rPr>
                      <w:t>Feed the Future Innovation Lab for Food Security Policy</w:t>
                    </w:r>
                  </w:p>
                </w:txbxContent>
              </v:textbox>
            </v:rect>
          </w:pict>
        </mc:Fallback>
      </mc:AlternateContent>
    </w:r>
  </w:p>
  <w:p w14:paraId="69C4F536" w14:textId="215069B5" w:rsidR="00A16786" w:rsidRDefault="00A167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68E5" w14:textId="77777777" w:rsidR="00160CD3" w:rsidRDefault="00160CD3">
    <w:pPr>
      <w:pStyle w:val="Header"/>
    </w:pPr>
    <w:r w:rsidRPr="00671E0D">
      <w:rPr>
        <w:noProof/>
      </w:rPr>
      <mc:AlternateContent>
        <mc:Choice Requires="wps">
          <w:drawing>
            <wp:anchor distT="0" distB="0" distL="114300" distR="114300" simplePos="0" relativeHeight="251657216" behindDoc="0" locked="0" layoutInCell="1" allowOverlap="1" wp14:anchorId="6A23EFE1" wp14:editId="7FB67F9F">
              <wp:simplePos x="0" y="0"/>
              <wp:positionH relativeFrom="column">
                <wp:posOffset>-914400</wp:posOffset>
              </wp:positionH>
              <wp:positionV relativeFrom="paragraph">
                <wp:posOffset>-457200</wp:posOffset>
              </wp:positionV>
              <wp:extent cx="9144000" cy="685800"/>
              <wp:effectExtent l="0" t="0" r="0" b="0"/>
              <wp:wrapNone/>
              <wp:docPr id="22" name="Rectangle 16"/>
              <wp:cNvGraphicFramePr/>
              <a:graphic xmlns:a="http://schemas.openxmlformats.org/drawingml/2006/main">
                <a:graphicData uri="http://schemas.microsoft.com/office/word/2010/wordprocessingShape">
                  <wps:wsp>
                    <wps:cNvSpPr/>
                    <wps:spPr>
                      <a:xfrm>
                        <a:off x="0" y="0"/>
                        <a:ext cx="9144000" cy="685800"/>
                      </a:xfrm>
                      <a:prstGeom prst="rect">
                        <a:avLst/>
                      </a:prstGeom>
                      <a:solidFill>
                        <a:srgbClr val="3A77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650330" id="Rectangle 16" o:spid="_x0000_s1026" style="position:absolute;margin-left:-1in;margin-top:-36pt;width:10in;height: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" fillcolor="#3a778c" stroked="f" strokeweight="1.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4D83" w14:textId="77777777" w:rsidR="00AB5B1C" w:rsidRDefault="00AB5B1C" w:rsidP="00105EF7">
    <w:pPr>
      <w:pStyle w:val="Header"/>
    </w:pPr>
    <w:r w:rsidRPr="00671E0D">
      <w:rPr>
        <w:noProof/>
      </w:rPr>
      <mc:AlternateContent>
        <mc:Choice Requires="wps">
          <w:drawing>
            <wp:anchor distT="0" distB="0" distL="114300" distR="114300" simplePos="0" relativeHeight="251671552" behindDoc="0" locked="0" layoutInCell="1" allowOverlap="1" wp14:anchorId="65323ABD" wp14:editId="6554332D">
              <wp:simplePos x="0" y="0"/>
              <wp:positionH relativeFrom="column">
                <wp:posOffset>-495300</wp:posOffset>
              </wp:positionH>
              <wp:positionV relativeFrom="paragraph">
                <wp:posOffset>-733425</wp:posOffset>
              </wp:positionV>
              <wp:extent cx="7872730" cy="914400"/>
              <wp:effectExtent l="0" t="0" r="0" b="0"/>
              <wp:wrapNone/>
              <wp:docPr id="2" name="Rectangle 16" descr="header color" title="header color"/>
              <wp:cNvGraphicFramePr/>
              <a:graphic xmlns:a="http://schemas.openxmlformats.org/drawingml/2006/main">
                <a:graphicData uri="http://schemas.microsoft.com/office/word/2010/wordprocessingShape">
                  <wps:wsp>
                    <wps:cNvSpPr/>
                    <wps:spPr>
                      <a:xfrm>
                        <a:off x="0" y="0"/>
                        <a:ext cx="7872730" cy="914400"/>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53FE0" w14:textId="54C8347A" w:rsidR="00AB5B1C" w:rsidRPr="00DC72EA" w:rsidRDefault="00AB5B1C" w:rsidP="00C37126">
                          <w:pPr>
                            <w:rPr>
                              <w:rFonts w:ascii="Garamond" w:hAnsi="Garamond" w:cs="Gill Sans"/>
                              <w:b/>
                              <w:i/>
                              <w:sz w:val="28"/>
                            </w:rPr>
                          </w:pPr>
                          <w:r>
                            <w:rPr>
                              <w:rFonts w:ascii="Gill Sans" w:hAnsi="Gill Sans" w:cs="Gill Sans"/>
                              <w:b/>
                              <w:i/>
                              <w:sz w:val="2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323ABD" id="_x0000_s1030" alt="Title: header color - Description: header color" style="position:absolute;margin-left:-39pt;margin-top:-57.75pt;width:619.9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" fillcolor="#4799b5" stroked="f" strokeweight="1.5pt">
              <v:textbox>
                <w:txbxContent>
                  <w:p w14:paraId="14753FE0" w14:textId="54C8347A" w:rsidR="00AB5B1C" w:rsidRPr="00DC72EA" w:rsidRDefault="00AB5B1C" w:rsidP="00C37126">
                    <w:pPr>
                      <w:rPr>
                        <w:rFonts w:ascii="Garamond" w:hAnsi="Garamond" w:cs="Gill Sans"/>
                        <w:b/>
                        <w:i/>
                        <w:sz w:val="28"/>
                      </w:rPr>
                    </w:pPr>
                    <w:r>
                      <w:rPr>
                        <w:rFonts w:ascii="Gill Sans" w:hAnsi="Gill Sans" w:cs="Gill Sans"/>
                        <w:b/>
                        <w:i/>
                        <w:sz w:val="26"/>
                      </w:rPr>
                      <w:t xml:space="preserve"> </w:t>
                    </w:r>
                  </w:p>
                </w:txbxContent>
              </v:textbox>
            </v:rect>
          </w:pict>
        </mc:Fallback>
      </mc:AlternateContent>
    </w:r>
  </w:p>
  <w:p w14:paraId="7A2E81B0" w14:textId="77777777" w:rsidR="00AB5B1C" w:rsidRDefault="00AB5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22AF"/>
    <w:multiLevelType w:val="hybridMultilevel"/>
    <w:tmpl w:val="EE62DF3A"/>
    <w:lvl w:ilvl="0" w:tplc="F23A5444">
      <w:start w:val="1"/>
      <w:numFmt w:val="bullet"/>
      <w:lvlText w:val="-"/>
      <w:lvlJc w:val="left"/>
      <w:pPr>
        <w:ind w:left="360" w:hanging="360"/>
      </w:pPr>
      <w:rPr>
        <w:rFonts w:ascii="Times New Roman" w:eastAsiaTheme="minorHAnsi" w:hAnsi="Times New Roman" w:cs="Times New Roman" w:hint="default"/>
      </w:rPr>
    </w:lvl>
    <w:lvl w:ilvl="1" w:tplc="F23A5444">
      <w:start w:val="1"/>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5376F03"/>
    <w:multiLevelType w:val="hybridMultilevel"/>
    <w:tmpl w:val="31C817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774AD"/>
    <w:multiLevelType w:val="hybridMultilevel"/>
    <w:tmpl w:val="D9AC2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E3372"/>
    <w:multiLevelType w:val="hybridMultilevel"/>
    <w:tmpl w:val="D690137C"/>
    <w:lvl w:ilvl="0" w:tplc="0409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4D0ECE"/>
    <w:multiLevelType w:val="hybridMultilevel"/>
    <w:tmpl w:val="4628EE9A"/>
    <w:lvl w:ilvl="0" w:tplc="0EE0F764">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A4AB0"/>
    <w:multiLevelType w:val="hybridMultilevel"/>
    <w:tmpl w:val="5AF00664"/>
    <w:lvl w:ilvl="0" w:tplc="F7866C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5A3418"/>
    <w:multiLevelType w:val="hybridMultilevel"/>
    <w:tmpl w:val="6E8682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30697"/>
    <w:multiLevelType w:val="hybridMultilevel"/>
    <w:tmpl w:val="A8B47458"/>
    <w:lvl w:ilvl="0" w:tplc="0409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FA50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773196"/>
    <w:multiLevelType w:val="hybridMultilevel"/>
    <w:tmpl w:val="0D584C7A"/>
    <w:lvl w:ilvl="0" w:tplc="F23A5444">
      <w:start w:val="1"/>
      <w:numFmt w:val="bullet"/>
      <w:lvlText w:val="-"/>
      <w:lvlJc w:val="left"/>
      <w:pPr>
        <w:ind w:left="360" w:hanging="360"/>
      </w:pPr>
      <w:rPr>
        <w:rFonts w:ascii="Times New Roman" w:eastAsiaTheme="minorHAnsi" w:hAnsi="Times New Roman" w:cs="Times New Roman" w:hint="default"/>
      </w:rPr>
    </w:lvl>
    <w:lvl w:ilvl="1" w:tplc="F23A5444">
      <w:start w:val="1"/>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6CB6CD0"/>
    <w:multiLevelType w:val="hybridMultilevel"/>
    <w:tmpl w:val="914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5179B"/>
    <w:multiLevelType w:val="multilevel"/>
    <w:tmpl w:val="4CEC6ABC"/>
    <w:lvl w:ilvl="0">
      <w:start w:val="1"/>
      <w:numFmt w:val="decimal"/>
      <w:pStyle w:val="MMTopic1"/>
      <w:suff w:val="space"/>
      <w:lvlText w:val="%1"/>
      <w:lvlJc w:val="left"/>
      <w:pPr>
        <w:tabs>
          <w:tab w:val="num" w:pos="360"/>
        </w:tabs>
      </w:pPr>
    </w:lvl>
    <w:lvl w:ilvl="1">
      <w:start w:val="1"/>
      <w:numFmt w:val="decimal"/>
      <w:pStyle w:val="MMTopic2"/>
      <w:suff w:val="space"/>
      <w:lvlText w:val="%1.%2"/>
      <w:lvlJc w:val="left"/>
      <w:rPr>
        <w:b/>
        <w:i w:val="0"/>
        <w:color w:val="000000" w:themeColor="text1"/>
      </w:rPr>
    </w:lvl>
    <w:lvl w:ilvl="2">
      <w:start w:val="1"/>
      <w:numFmt w:val="decimal"/>
      <w:pStyle w:val="MMTopic3"/>
      <w:suff w:val="space"/>
      <w:lvlText w:val="%1.%2.%3"/>
      <w:lvlJc w:val="left"/>
      <w:rPr>
        <w:color w:val="000000" w:themeColor="text1"/>
      </w:rPr>
    </w:lvl>
    <w:lvl w:ilvl="3">
      <w:start w:val="1"/>
      <w:numFmt w:val="decimal"/>
      <w:pStyle w:val="MMTopic4"/>
      <w:suff w:val="space"/>
      <w:lvlText w:val="%1.%2.%3.%4"/>
      <w:lvlJc w:val="left"/>
    </w:lvl>
    <w:lvl w:ilvl="4">
      <w:start w:val="1"/>
      <w:numFmt w:val="decimal"/>
      <w:pStyle w:val="MMTopic5"/>
      <w:suff w:val="space"/>
      <w:lvlText w:val="%1.%2.%3.%4.%5"/>
      <w:lvlJc w:val="left"/>
    </w:lvl>
    <w:lvl w:ilvl="5">
      <w:start w:val="1"/>
      <w:numFmt w:val="decimal"/>
      <w:pStyle w:val="MMTopic6"/>
      <w:suff w:val="space"/>
      <w:lvlText w:val="%1.%2.%3.%4.%5.%6"/>
      <w:lvlJc w:val="left"/>
    </w:lvl>
    <w:lvl w:ilvl="6">
      <w:start w:val="1"/>
      <w:numFmt w:val="decimal"/>
      <w:pStyle w:val="MMTopic7"/>
      <w:suff w:val="space"/>
      <w:lvlText w:val="%1.%2.%3.%4.%5.%6.%7"/>
      <w:lvlJc w:val="left"/>
    </w:lvl>
    <w:lvl w:ilvl="7">
      <w:start w:val="1"/>
      <w:numFmt w:val="decimal"/>
      <w:pStyle w:val="MMTopic8"/>
      <w:suff w:val="space"/>
      <w:lvlText w:val="%1.%2.%3.%4.%5.%6.%7.%8"/>
      <w:lvlJc w:val="left"/>
    </w:lvl>
    <w:lvl w:ilvl="8">
      <w:start w:val="1"/>
      <w:numFmt w:val="decimal"/>
      <w:pStyle w:val="MMTopic9"/>
      <w:suff w:val="space"/>
      <w:lvlText w:val="%1.%2.%3.%4.%5.%6.%7.%8.%9"/>
      <w:lvlJc w:val="left"/>
    </w:lvl>
  </w:abstractNum>
  <w:abstractNum w:abstractNumId="12" w15:restartNumberingAfterBreak="0">
    <w:nsid w:val="72F1508A"/>
    <w:multiLevelType w:val="hybridMultilevel"/>
    <w:tmpl w:val="01B2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87E5E"/>
    <w:multiLevelType w:val="hybridMultilevel"/>
    <w:tmpl w:val="BB08CCB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88F6162"/>
    <w:multiLevelType w:val="hybridMultilevel"/>
    <w:tmpl w:val="0714D6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F23F0D"/>
    <w:multiLevelType w:val="hybridMultilevel"/>
    <w:tmpl w:val="E3C6AA2E"/>
    <w:lvl w:ilvl="0" w:tplc="714032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84E24"/>
    <w:multiLevelType w:val="hybridMultilevel"/>
    <w:tmpl w:val="12BE55AC"/>
    <w:lvl w:ilvl="0" w:tplc="0409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4"/>
  </w:num>
  <w:num w:numId="4">
    <w:abstractNumId w:val="2"/>
  </w:num>
  <w:num w:numId="5">
    <w:abstractNumId w:val="12"/>
  </w:num>
  <w:num w:numId="6">
    <w:abstractNumId w:val="6"/>
  </w:num>
  <w:num w:numId="7">
    <w:abstractNumId w:val="1"/>
  </w:num>
  <w:num w:numId="8">
    <w:abstractNumId w:val="10"/>
  </w:num>
  <w:num w:numId="9">
    <w:abstractNumId w:val="13"/>
  </w:num>
  <w:num w:numId="10">
    <w:abstractNumId w:val="0"/>
  </w:num>
  <w:num w:numId="11">
    <w:abstractNumId w:val="9"/>
  </w:num>
  <w:num w:numId="12">
    <w:abstractNumId w:val="7"/>
  </w:num>
  <w:num w:numId="13">
    <w:abstractNumId w:val="3"/>
  </w:num>
  <w:num w:numId="14">
    <w:abstractNumId w:val="16"/>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64"/>
    <w:rsid w:val="000019DF"/>
    <w:rsid w:val="00010E1D"/>
    <w:rsid w:val="00011271"/>
    <w:rsid w:val="00014D45"/>
    <w:rsid w:val="000234D2"/>
    <w:rsid w:val="0002559D"/>
    <w:rsid w:val="00027404"/>
    <w:rsid w:val="00027487"/>
    <w:rsid w:val="00027F8B"/>
    <w:rsid w:val="000305B7"/>
    <w:rsid w:val="00030E5A"/>
    <w:rsid w:val="0003295D"/>
    <w:rsid w:val="000359D3"/>
    <w:rsid w:val="0004147B"/>
    <w:rsid w:val="00046C39"/>
    <w:rsid w:val="0005227A"/>
    <w:rsid w:val="00052BA0"/>
    <w:rsid w:val="00060B52"/>
    <w:rsid w:val="00061DF5"/>
    <w:rsid w:val="00062FCD"/>
    <w:rsid w:val="000658FA"/>
    <w:rsid w:val="00065D9C"/>
    <w:rsid w:val="000714FC"/>
    <w:rsid w:val="00071EE2"/>
    <w:rsid w:val="00071FB1"/>
    <w:rsid w:val="00073B8B"/>
    <w:rsid w:val="000755FA"/>
    <w:rsid w:val="0008014D"/>
    <w:rsid w:val="0008417A"/>
    <w:rsid w:val="000935B1"/>
    <w:rsid w:val="0009635B"/>
    <w:rsid w:val="000A3CD1"/>
    <w:rsid w:val="000A4617"/>
    <w:rsid w:val="000B1637"/>
    <w:rsid w:val="000B2064"/>
    <w:rsid w:val="000B4439"/>
    <w:rsid w:val="000B4CAC"/>
    <w:rsid w:val="000B53BA"/>
    <w:rsid w:val="000B711F"/>
    <w:rsid w:val="000B7363"/>
    <w:rsid w:val="000C04BE"/>
    <w:rsid w:val="000C2598"/>
    <w:rsid w:val="000C6F56"/>
    <w:rsid w:val="000D7CC7"/>
    <w:rsid w:val="000E0BEF"/>
    <w:rsid w:val="000E1803"/>
    <w:rsid w:val="000E1E8F"/>
    <w:rsid w:val="000E33B8"/>
    <w:rsid w:val="000E50A9"/>
    <w:rsid w:val="000F0B52"/>
    <w:rsid w:val="000F1C95"/>
    <w:rsid w:val="000F4F38"/>
    <w:rsid w:val="00105DF0"/>
    <w:rsid w:val="00105EF7"/>
    <w:rsid w:val="00111292"/>
    <w:rsid w:val="001118DD"/>
    <w:rsid w:val="001122B6"/>
    <w:rsid w:val="00112754"/>
    <w:rsid w:val="001128C9"/>
    <w:rsid w:val="00116603"/>
    <w:rsid w:val="00117935"/>
    <w:rsid w:val="001220A3"/>
    <w:rsid w:val="00134CA5"/>
    <w:rsid w:val="0013552B"/>
    <w:rsid w:val="0013562C"/>
    <w:rsid w:val="00136001"/>
    <w:rsid w:val="00137044"/>
    <w:rsid w:val="00141D97"/>
    <w:rsid w:val="00143A15"/>
    <w:rsid w:val="00145FF5"/>
    <w:rsid w:val="00150E0C"/>
    <w:rsid w:val="00151C0C"/>
    <w:rsid w:val="00151F23"/>
    <w:rsid w:val="00152D6B"/>
    <w:rsid w:val="001535C0"/>
    <w:rsid w:val="001546A7"/>
    <w:rsid w:val="00156357"/>
    <w:rsid w:val="00156AA9"/>
    <w:rsid w:val="00160CD3"/>
    <w:rsid w:val="00163FD6"/>
    <w:rsid w:val="00170C87"/>
    <w:rsid w:val="00176777"/>
    <w:rsid w:val="00184AFE"/>
    <w:rsid w:val="0018623F"/>
    <w:rsid w:val="0019040A"/>
    <w:rsid w:val="00192B23"/>
    <w:rsid w:val="00193DF3"/>
    <w:rsid w:val="00195A47"/>
    <w:rsid w:val="001A206B"/>
    <w:rsid w:val="001A286B"/>
    <w:rsid w:val="001A4DC8"/>
    <w:rsid w:val="001B2D6C"/>
    <w:rsid w:val="001B54C1"/>
    <w:rsid w:val="001C181E"/>
    <w:rsid w:val="001C2774"/>
    <w:rsid w:val="001C34FF"/>
    <w:rsid w:val="001D5B1E"/>
    <w:rsid w:val="001E2CBD"/>
    <w:rsid w:val="001E43BC"/>
    <w:rsid w:val="001E582C"/>
    <w:rsid w:val="001E6308"/>
    <w:rsid w:val="001F011E"/>
    <w:rsid w:val="001F2359"/>
    <w:rsid w:val="001F2E59"/>
    <w:rsid w:val="001F3B9D"/>
    <w:rsid w:val="001F67BF"/>
    <w:rsid w:val="00200A58"/>
    <w:rsid w:val="00203EF2"/>
    <w:rsid w:val="00203EF6"/>
    <w:rsid w:val="002066E7"/>
    <w:rsid w:val="00207F87"/>
    <w:rsid w:val="00210B7F"/>
    <w:rsid w:val="00213DE7"/>
    <w:rsid w:val="0022103F"/>
    <w:rsid w:val="00221B79"/>
    <w:rsid w:val="00234C54"/>
    <w:rsid w:val="0023770A"/>
    <w:rsid w:val="00242277"/>
    <w:rsid w:val="0024319D"/>
    <w:rsid w:val="00243488"/>
    <w:rsid w:val="00246A80"/>
    <w:rsid w:val="00251CAA"/>
    <w:rsid w:val="002535A6"/>
    <w:rsid w:val="00261B5D"/>
    <w:rsid w:val="00261FDE"/>
    <w:rsid w:val="00262AA1"/>
    <w:rsid w:val="00262BDF"/>
    <w:rsid w:val="002643A4"/>
    <w:rsid w:val="0026510E"/>
    <w:rsid w:val="002655F8"/>
    <w:rsid w:val="0026568E"/>
    <w:rsid w:val="0027043C"/>
    <w:rsid w:val="002708C2"/>
    <w:rsid w:val="00270AB9"/>
    <w:rsid w:val="002713A7"/>
    <w:rsid w:val="00272E66"/>
    <w:rsid w:val="0027353A"/>
    <w:rsid w:val="00274F5F"/>
    <w:rsid w:val="002750F1"/>
    <w:rsid w:val="002818B7"/>
    <w:rsid w:val="0028388B"/>
    <w:rsid w:val="0028764A"/>
    <w:rsid w:val="00297410"/>
    <w:rsid w:val="002A6E96"/>
    <w:rsid w:val="002B0A02"/>
    <w:rsid w:val="002B452F"/>
    <w:rsid w:val="002C0047"/>
    <w:rsid w:val="002C2889"/>
    <w:rsid w:val="002C6A80"/>
    <w:rsid w:val="002C783E"/>
    <w:rsid w:val="002D136F"/>
    <w:rsid w:val="002D27C8"/>
    <w:rsid w:val="002D350F"/>
    <w:rsid w:val="002D685D"/>
    <w:rsid w:val="002E37BC"/>
    <w:rsid w:val="002E6DDC"/>
    <w:rsid w:val="002E79CD"/>
    <w:rsid w:val="002F182B"/>
    <w:rsid w:val="002F3647"/>
    <w:rsid w:val="002F599F"/>
    <w:rsid w:val="00307E1B"/>
    <w:rsid w:val="00311837"/>
    <w:rsid w:val="0032067F"/>
    <w:rsid w:val="00320FBE"/>
    <w:rsid w:val="0032141E"/>
    <w:rsid w:val="0032304A"/>
    <w:rsid w:val="003270B8"/>
    <w:rsid w:val="00344B50"/>
    <w:rsid w:val="003457D2"/>
    <w:rsid w:val="003515AC"/>
    <w:rsid w:val="00355209"/>
    <w:rsid w:val="003572A8"/>
    <w:rsid w:val="00361C87"/>
    <w:rsid w:val="00370ECB"/>
    <w:rsid w:val="003716B4"/>
    <w:rsid w:val="00380A40"/>
    <w:rsid w:val="00381EF1"/>
    <w:rsid w:val="0038553B"/>
    <w:rsid w:val="00387E83"/>
    <w:rsid w:val="00391A82"/>
    <w:rsid w:val="00395EDE"/>
    <w:rsid w:val="00396DA1"/>
    <w:rsid w:val="00397FF6"/>
    <w:rsid w:val="003A1D4D"/>
    <w:rsid w:val="003B1F1D"/>
    <w:rsid w:val="003B334A"/>
    <w:rsid w:val="003B52C1"/>
    <w:rsid w:val="003B7088"/>
    <w:rsid w:val="003B7480"/>
    <w:rsid w:val="003B7E48"/>
    <w:rsid w:val="003C3750"/>
    <w:rsid w:val="003D178E"/>
    <w:rsid w:val="003D7C50"/>
    <w:rsid w:val="003E64D9"/>
    <w:rsid w:val="003E7D3B"/>
    <w:rsid w:val="00411BEA"/>
    <w:rsid w:val="004127F5"/>
    <w:rsid w:val="00412CA9"/>
    <w:rsid w:val="00413061"/>
    <w:rsid w:val="00414648"/>
    <w:rsid w:val="00433BA6"/>
    <w:rsid w:val="00435382"/>
    <w:rsid w:val="00436CD8"/>
    <w:rsid w:val="004402B1"/>
    <w:rsid w:val="00442570"/>
    <w:rsid w:val="00451BCF"/>
    <w:rsid w:val="00452D7C"/>
    <w:rsid w:val="00455194"/>
    <w:rsid w:val="004602E3"/>
    <w:rsid w:val="00463E57"/>
    <w:rsid w:val="00474625"/>
    <w:rsid w:val="00477BC5"/>
    <w:rsid w:val="00477FAD"/>
    <w:rsid w:val="004825C3"/>
    <w:rsid w:val="00492399"/>
    <w:rsid w:val="004936E9"/>
    <w:rsid w:val="004948C7"/>
    <w:rsid w:val="00497F61"/>
    <w:rsid w:val="004A318B"/>
    <w:rsid w:val="004A3FFF"/>
    <w:rsid w:val="004A566E"/>
    <w:rsid w:val="004B7412"/>
    <w:rsid w:val="004C7863"/>
    <w:rsid w:val="004E0C4D"/>
    <w:rsid w:val="004E4678"/>
    <w:rsid w:val="004E48A0"/>
    <w:rsid w:val="004F1C32"/>
    <w:rsid w:val="004F1D8F"/>
    <w:rsid w:val="004F41C9"/>
    <w:rsid w:val="004F65B6"/>
    <w:rsid w:val="004F7A42"/>
    <w:rsid w:val="00502AB9"/>
    <w:rsid w:val="00504D07"/>
    <w:rsid w:val="00507A27"/>
    <w:rsid w:val="0051088F"/>
    <w:rsid w:val="005118AD"/>
    <w:rsid w:val="005164B3"/>
    <w:rsid w:val="00521174"/>
    <w:rsid w:val="005217ED"/>
    <w:rsid w:val="0052336E"/>
    <w:rsid w:val="005245D9"/>
    <w:rsid w:val="005300EC"/>
    <w:rsid w:val="005349AE"/>
    <w:rsid w:val="00535DFF"/>
    <w:rsid w:val="00536EB4"/>
    <w:rsid w:val="00537837"/>
    <w:rsid w:val="005454C7"/>
    <w:rsid w:val="00545F98"/>
    <w:rsid w:val="00547C92"/>
    <w:rsid w:val="00550066"/>
    <w:rsid w:val="0055117C"/>
    <w:rsid w:val="005521AE"/>
    <w:rsid w:val="00552B9A"/>
    <w:rsid w:val="005554E2"/>
    <w:rsid w:val="00556937"/>
    <w:rsid w:val="00557639"/>
    <w:rsid w:val="00557A0A"/>
    <w:rsid w:val="00561BE4"/>
    <w:rsid w:val="00563EE0"/>
    <w:rsid w:val="00565B6E"/>
    <w:rsid w:val="00566CD2"/>
    <w:rsid w:val="005737BE"/>
    <w:rsid w:val="00573FEC"/>
    <w:rsid w:val="005760F4"/>
    <w:rsid w:val="0058077F"/>
    <w:rsid w:val="00581B32"/>
    <w:rsid w:val="00581C24"/>
    <w:rsid w:val="005838F0"/>
    <w:rsid w:val="005844D8"/>
    <w:rsid w:val="00586309"/>
    <w:rsid w:val="005908B2"/>
    <w:rsid w:val="00594441"/>
    <w:rsid w:val="0059456B"/>
    <w:rsid w:val="00597397"/>
    <w:rsid w:val="005A1A91"/>
    <w:rsid w:val="005B4031"/>
    <w:rsid w:val="005C10EB"/>
    <w:rsid w:val="005C20E2"/>
    <w:rsid w:val="005C549E"/>
    <w:rsid w:val="005C7022"/>
    <w:rsid w:val="005D568B"/>
    <w:rsid w:val="005D5CCA"/>
    <w:rsid w:val="005D71DB"/>
    <w:rsid w:val="005E1291"/>
    <w:rsid w:val="005E274E"/>
    <w:rsid w:val="005E630C"/>
    <w:rsid w:val="005F0012"/>
    <w:rsid w:val="005F5B4C"/>
    <w:rsid w:val="005F69D5"/>
    <w:rsid w:val="00602076"/>
    <w:rsid w:val="00603AB9"/>
    <w:rsid w:val="00604D36"/>
    <w:rsid w:val="00605ADA"/>
    <w:rsid w:val="00610ED8"/>
    <w:rsid w:val="006141E4"/>
    <w:rsid w:val="0061533F"/>
    <w:rsid w:val="00615C76"/>
    <w:rsid w:val="0061676E"/>
    <w:rsid w:val="00616C8E"/>
    <w:rsid w:val="00622823"/>
    <w:rsid w:val="0062300A"/>
    <w:rsid w:val="00623BA0"/>
    <w:rsid w:val="00624A69"/>
    <w:rsid w:val="00624F02"/>
    <w:rsid w:val="006302E5"/>
    <w:rsid w:val="00630FA5"/>
    <w:rsid w:val="00632596"/>
    <w:rsid w:val="00635454"/>
    <w:rsid w:val="00635EAF"/>
    <w:rsid w:val="006375DC"/>
    <w:rsid w:val="00637662"/>
    <w:rsid w:val="00641CAC"/>
    <w:rsid w:val="0064488B"/>
    <w:rsid w:val="00645B9A"/>
    <w:rsid w:val="0065470A"/>
    <w:rsid w:val="00655401"/>
    <w:rsid w:val="00656A6B"/>
    <w:rsid w:val="00663D90"/>
    <w:rsid w:val="006653E0"/>
    <w:rsid w:val="00671C0E"/>
    <w:rsid w:val="00671E0D"/>
    <w:rsid w:val="006723CD"/>
    <w:rsid w:val="00672CEA"/>
    <w:rsid w:val="0067349F"/>
    <w:rsid w:val="00683A12"/>
    <w:rsid w:val="00686839"/>
    <w:rsid w:val="0069305F"/>
    <w:rsid w:val="006A3B5E"/>
    <w:rsid w:val="006B0134"/>
    <w:rsid w:val="006B1407"/>
    <w:rsid w:val="006B2F5D"/>
    <w:rsid w:val="006B3414"/>
    <w:rsid w:val="006B458A"/>
    <w:rsid w:val="006B546B"/>
    <w:rsid w:val="006C2340"/>
    <w:rsid w:val="006C24C1"/>
    <w:rsid w:val="006C2E36"/>
    <w:rsid w:val="006C4840"/>
    <w:rsid w:val="006C5533"/>
    <w:rsid w:val="006C650D"/>
    <w:rsid w:val="006D47A3"/>
    <w:rsid w:val="006D4939"/>
    <w:rsid w:val="006E0D82"/>
    <w:rsid w:val="006E32A3"/>
    <w:rsid w:val="006F41E0"/>
    <w:rsid w:val="007031C8"/>
    <w:rsid w:val="00705E9A"/>
    <w:rsid w:val="0070665D"/>
    <w:rsid w:val="00710CE9"/>
    <w:rsid w:val="00711F3F"/>
    <w:rsid w:val="00716431"/>
    <w:rsid w:val="007217C6"/>
    <w:rsid w:val="00722083"/>
    <w:rsid w:val="007237F1"/>
    <w:rsid w:val="007238E3"/>
    <w:rsid w:val="00730176"/>
    <w:rsid w:val="007329EA"/>
    <w:rsid w:val="0073464B"/>
    <w:rsid w:val="007350E4"/>
    <w:rsid w:val="0073586A"/>
    <w:rsid w:val="00754354"/>
    <w:rsid w:val="00755C4E"/>
    <w:rsid w:val="00756008"/>
    <w:rsid w:val="00761A8F"/>
    <w:rsid w:val="0076241A"/>
    <w:rsid w:val="0076573F"/>
    <w:rsid w:val="00770263"/>
    <w:rsid w:val="00770A76"/>
    <w:rsid w:val="007730EC"/>
    <w:rsid w:val="00775E8C"/>
    <w:rsid w:val="00776D31"/>
    <w:rsid w:val="00786ADE"/>
    <w:rsid w:val="0079255F"/>
    <w:rsid w:val="007935EF"/>
    <w:rsid w:val="00793C3B"/>
    <w:rsid w:val="007955BC"/>
    <w:rsid w:val="007A1F73"/>
    <w:rsid w:val="007A23C2"/>
    <w:rsid w:val="007B247F"/>
    <w:rsid w:val="007B641C"/>
    <w:rsid w:val="007B68A2"/>
    <w:rsid w:val="007B70B1"/>
    <w:rsid w:val="007C10DB"/>
    <w:rsid w:val="007C3E97"/>
    <w:rsid w:val="007E2EFD"/>
    <w:rsid w:val="007E6D66"/>
    <w:rsid w:val="007E7CF1"/>
    <w:rsid w:val="007F5E2F"/>
    <w:rsid w:val="007F5FC8"/>
    <w:rsid w:val="007F73A7"/>
    <w:rsid w:val="0080287D"/>
    <w:rsid w:val="008033F2"/>
    <w:rsid w:val="00803842"/>
    <w:rsid w:val="00805F95"/>
    <w:rsid w:val="00805F9C"/>
    <w:rsid w:val="00807CCB"/>
    <w:rsid w:val="00807CD2"/>
    <w:rsid w:val="00810E46"/>
    <w:rsid w:val="008118CA"/>
    <w:rsid w:val="00813895"/>
    <w:rsid w:val="008168C8"/>
    <w:rsid w:val="00821C9B"/>
    <w:rsid w:val="008228B4"/>
    <w:rsid w:val="008266C6"/>
    <w:rsid w:val="00835383"/>
    <w:rsid w:val="00841F79"/>
    <w:rsid w:val="0084339E"/>
    <w:rsid w:val="0084360E"/>
    <w:rsid w:val="00844B55"/>
    <w:rsid w:val="00845042"/>
    <w:rsid w:val="00851182"/>
    <w:rsid w:val="00854D24"/>
    <w:rsid w:val="0086675A"/>
    <w:rsid w:val="00867FB2"/>
    <w:rsid w:val="00876137"/>
    <w:rsid w:val="00880AA4"/>
    <w:rsid w:val="00880D57"/>
    <w:rsid w:val="00881AB6"/>
    <w:rsid w:val="008820D2"/>
    <w:rsid w:val="008844D9"/>
    <w:rsid w:val="0088559E"/>
    <w:rsid w:val="00891CB4"/>
    <w:rsid w:val="008943D0"/>
    <w:rsid w:val="00895906"/>
    <w:rsid w:val="00896697"/>
    <w:rsid w:val="008A177A"/>
    <w:rsid w:val="008A40E6"/>
    <w:rsid w:val="008A79D0"/>
    <w:rsid w:val="008B0376"/>
    <w:rsid w:val="008B1A6B"/>
    <w:rsid w:val="008B45C6"/>
    <w:rsid w:val="008B6A85"/>
    <w:rsid w:val="008C0328"/>
    <w:rsid w:val="008C11D4"/>
    <w:rsid w:val="008C2271"/>
    <w:rsid w:val="008C2D32"/>
    <w:rsid w:val="008C6295"/>
    <w:rsid w:val="008C6FFC"/>
    <w:rsid w:val="008C7B19"/>
    <w:rsid w:val="008D0296"/>
    <w:rsid w:val="008D19D6"/>
    <w:rsid w:val="008D495E"/>
    <w:rsid w:val="008D7C49"/>
    <w:rsid w:val="008E2BA2"/>
    <w:rsid w:val="008E39E7"/>
    <w:rsid w:val="008E3F54"/>
    <w:rsid w:val="008E4110"/>
    <w:rsid w:val="008E4CCE"/>
    <w:rsid w:val="0090146F"/>
    <w:rsid w:val="00910052"/>
    <w:rsid w:val="00911B4F"/>
    <w:rsid w:val="0091224C"/>
    <w:rsid w:val="00912B76"/>
    <w:rsid w:val="00915D36"/>
    <w:rsid w:val="00920476"/>
    <w:rsid w:val="0093118F"/>
    <w:rsid w:val="00931704"/>
    <w:rsid w:val="0093287D"/>
    <w:rsid w:val="009335FC"/>
    <w:rsid w:val="009374E5"/>
    <w:rsid w:val="00946FC1"/>
    <w:rsid w:val="00954859"/>
    <w:rsid w:val="00954B7D"/>
    <w:rsid w:val="00966FB8"/>
    <w:rsid w:val="00967C7E"/>
    <w:rsid w:val="00970C72"/>
    <w:rsid w:val="0097134F"/>
    <w:rsid w:val="009768DC"/>
    <w:rsid w:val="00976C32"/>
    <w:rsid w:val="009807FE"/>
    <w:rsid w:val="009827C5"/>
    <w:rsid w:val="0098426C"/>
    <w:rsid w:val="00994CAF"/>
    <w:rsid w:val="0099623E"/>
    <w:rsid w:val="009B3F9D"/>
    <w:rsid w:val="009B5C63"/>
    <w:rsid w:val="009B7F90"/>
    <w:rsid w:val="009C3A7E"/>
    <w:rsid w:val="009D0844"/>
    <w:rsid w:val="009D6527"/>
    <w:rsid w:val="009D7FA7"/>
    <w:rsid w:val="009E18A6"/>
    <w:rsid w:val="009E5900"/>
    <w:rsid w:val="009E5BA7"/>
    <w:rsid w:val="009F4278"/>
    <w:rsid w:val="009F67E8"/>
    <w:rsid w:val="009F69DE"/>
    <w:rsid w:val="009F761E"/>
    <w:rsid w:val="00A01B96"/>
    <w:rsid w:val="00A026C1"/>
    <w:rsid w:val="00A047D8"/>
    <w:rsid w:val="00A06521"/>
    <w:rsid w:val="00A074F6"/>
    <w:rsid w:val="00A07A31"/>
    <w:rsid w:val="00A1032C"/>
    <w:rsid w:val="00A10C92"/>
    <w:rsid w:val="00A11AD4"/>
    <w:rsid w:val="00A14DA0"/>
    <w:rsid w:val="00A16786"/>
    <w:rsid w:val="00A16AEC"/>
    <w:rsid w:val="00A17FDF"/>
    <w:rsid w:val="00A25E58"/>
    <w:rsid w:val="00A26CC4"/>
    <w:rsid w:val="00A272B5"/>
    <w:rsid w:val="00A342DD"/>
    <w:rsid w:val="00A34648"/>
    <w:rsid w:val="00A36507"/>
    <w:rsid w:val="00A36575"/>
    <w:rsid w:val="00A3694F"/>
    <w:rsid w:val="00A36E06"/>
    <w:rsid w:val="00A44802"/>
    <w:rsid w:val="00A46C8C"/>
    <w:rsid w:val="00A548A7"/>
    <w:rsid w:val="00A56210"/>
    <w:rsid w:val="00A56EB1"/>
    <w:rsid w:val="00A604B3"/>
    <w:rsid w:val="00A622B8"/>
    <w:rsid w:val="00A6315F"/>
    <w:rsid w:val="00A64066"/>
    <w:rsid w:val="00A667F8"/>
    <w:rsid w:val="00A66B34"/>
    <w:rsid w:val="00A674DE"/>
    <w:rsid w:val="00A70686"/>
    <w:rsid w:val="00A76755"/>
    <w:rsid w:val="00A773C5"/>
    <w:rsid w:val="00A77979"/>
    <w:rsid w:val="00A818F9"/>
    <w:rsid w:val="00A819FB"/>
    <w:rsid w:val="00A81ACA"/>
    <w:rsid w:val="00A85E45"/>
    <w:rsid w:val="00A90CDC"/>
    <w:rsid w:val="00A9153A"/>
    <w:rsid w:val="00A926D5"/>
    <w:rsid w:val="00A92772"/>
    <w:rsid w:val="00A93625"/>
    <w:rsid w:val="00A9559B"/>
    <w:rsid w:val="00A96C74"/>
    <w:rsid w:val="00AA312A"/>
    <w:rsid w:val="00AB58FF"/>
    <w:rsid w:val="00AB5B1C"/>
    <w:rsid w:val="00AB5EF1"/>
    <w:rsid w:val="00AD4A76"/>
    <w:rsid w:val="00AD5253"/>
    <w:rsid w:val="00AD5571"/>
    <w:rsid w:val="00AD7377"/>
    <w:rsid w:val="00AD7901"/>
    <w:rsid w:val="00AD7A7A"/>
    <w:rsid w:val="00AE1BCD"/>
    <w:rsid w:val="00AE30CA"/>
    <w:rsid w:val="00AE4F62"/>
    <w:rsid w:val="00AF2A3B"/>
    <w:rsid w:val="00AF48BF"/>
    <w:rsid w:val="00AF49C5"/>
    <w:rsid w:val="00B00E92"/>
    <w:rsid w:val="00B02A11"/>
    <w:rsid w:val="00B045EB"/>
    <w:rsid w:val="00B04600"/>
    <w:rsid w:val="00B04EAF"/>
    <w:rsid w:val="00B05B99"/>
    <w:rsid w:val="00B06379"/>
    <w:rsid w:val="00B15E05"/>
    <w:rsid w:val="00B21255"/>
    <w:rsid w:val="00B2344F"/>
    <w:rsid w:val="00B340FD"/>
    <w:rsid w:val="00B34CB9"/>
    <w:rsid w:val="00B353DF"/>
    <w:rsid w:val="00B42601"/>
    <w:rsid w:val="00B43911"/>
    <w:rsid w:val="00B4538A"/>
    <w:rsid w:val="00B47260"/>
    <w:rsid w:val="00B50011"/>
    <w:rsid w:val="00B50371"/>
    <w:rsid w:val="00B50861"/>
    <w:rsid w:val="00B510D2"/>
    <w:rsid w:val="00B5130C"/>
    <w:rsid w:val="00B530CE"/>
    <w:rsid w:val="00B61EF5"/>
    <w:rsid w:val="00B63B49"/>
    <w:rsid w:val="00B64275"/>
    <w:rsid w:val="00B66628"/>
    <w:rsid w:val="00B66E31"/>
    <w:rsid w:val="00B72A9A"/>
    <w:rsid w:val="00B755CE"/>
    <w:rsid w:val="00B823E1"/>
    <w:rsid w:val="00B85B3B"/>
    <w:rsid w:val="00B87F2D"/>
    <w:rsid w:val="00B940AE"/>
    <w:rsid w:val="00BA03E0"/>
    <w:rsid w:val="00BA277C"/>
    <w:rsid w:val="00BA41B8"/>
    <w:rsid w:val="00BA56BC"/>
    <w:rsid w:val="00BA778B"/>
    <w:rsid w:val="00BB3A61"/>
    <w:rsid w:val="00BB7507"/>
    <w:rsid w:val="00BC2458"/>
    <w:rsid w:val="00BC34D6"/>
    <w:rsid w:val="00BC45A1"/>
    <w:rsid w:val="00BC4D04"/>
    <w:rsid w:val="00BC5087"/>
    <w:rsid w:val="00BD1C04"/>
    <w:rsid w:val="00BE1476"/>
    <w:rsid w:val="00BE2044"/>
    <w:rsid w:val="00BE5617"/>
    <w:rsid w:val="00BE5EBA"/>
    <w:rsid w:val="00BF1B8E"/>
    <w:rsid w:val="00BF1BD5"/>
    <w:rsid w:val="00BF32D2"/>
    <w:rsid w:val="00BF4666"/>
    <w:rsid w:val="00BF58A7"/>
    <w:rsid w:val="00BF6783"/>
    <w:rsid w:val="00C007DC"/>
    <w:rsid w:val="00C05B52"/>
    <w:rsid w:val="00C110E1"/>
    <w:rsid w:val="00C128CF"/>
    <w:rsid w:val="00C14232"/>
    <w:rsid w:val="00C143C4"/>
    <w:rsid w:val="00C1580D"/>
    <w:rsid w:val="00C16A8C"/>
    <w:rsid w:val="00C17102"/>
    <w:rsid w:val="00C20FE5"/>
    <w:rsid w:val="00C21E3A"/>
    <w:rsid w:val="00C239FA"/>
    <w:rsid w:val="00C30A10"/>
    <w:rsid w:val="00C3105F"/>
    <w:rsid w:val="00C3392D"/>
    <w:rsid w:val="00C340C9"/>
    <w:rsid w:val="00C3649E"/>
    <w:rsid w:val="00C368A7"/>
    <w:rsid w:val="00C37126"/>
    <w:rsid w:val="00C4136F"/>
    <w:rsid w:val="00C42567"/>
    <w:rsid w:val="00C47895"/>
    <w:rsid w:val="00C541F0"/>
    <w:rsid w:val="00C551E9"/>
    <w:rsid w:val="00C7217B"/>
    <w:rsid w:val="00C7675F"/>
    <w:rsid w:val="00C83EAE"/>
    <w:rsid w:val="00C951E4"/>
    <w:rsid w:val="00C9631B"/>
    <w:rsid w:val="00CA18EA"/>
    <w:rsid w:val="00CA4660"/>
    <w:rsid w:val="00CA6B6A"/>
    <w:rsid w:val="00CB0E8E"/>
    <w:rsid w:val="00CB2ADF"/>
    <w:rsid w:val="00CB3B5E"/>
    <w:rsid w:val="00CC1333"/>
    <w:rsid w:val="00CC14BB"/>
    <w:rsid w:val="00CC3F3C"/>
    <w:rsid w:val="00CC6DEA"/>
    <w:rsid w:val="00CD0656"/>
    <w:rsid w:val="00CD0F18"/>
    <w:rsid w:val="00CD12A8"/>
    <w:rsid w:val="00CD1444"/>
    <w:rsid w:val="00CD188B"/>
    <w:rsid w:val="00CD4156"/>
    <w:rsid w:val="00CD438C"/>
    <w:rsid w:val="00CD5012"/>
    <w:rsid w:val="00CD58A7"/>
    <w:rsid w:val="00CE31F1"/>
    <w:rsid w:val="00CE37A0"/>
    <w:rsid w:val="00CF1B49"/>
    <w:rsid w:val="00CF5A37"/>
    <w:rsid w:val="00D026EE"/>
    <w:rsid w:val="00D0396A"/>
    <w:rsid w:val="00D1318E"/>
    <w:rsid w:val="00D15E65"/>
    <w:rsid w:val="00D161F7"/>
    <w:rsid w:val="00D17096"/>
    <w:rsid w:val="00D170DA"/>
    <w:rsid w:val="00D17447"/>
    <w:rsid w:val="00D230EC"/>
    <w:rsid w:val="00D23F8B"/>
    <w:rsid w:val="00D26DE6"/>
    <w:rsid w:val="00D26E53"/>
    <w:rsid w:val="00D30519"/>
    <w:rsid w:val="00D3064F"/>
    <w:rsid w:val="00D327F6"/>
    <w:rsid w:val="00D351F5"/>
    <w:rsid w:val="00D37209"/>
    <w:rsid w:val="00D41C70"/>
    <w:rsid w:val="00D45F9D"/>
    <w:rsid w:val="00D648B2"/>
    <w:rsid w:val="00D66392"/>
    <w:rsid w:val="00D7103B"/>
    <w:rsid w:val="00D71E42"/>
    <w:rsid w:val="00D728FA"/>
    <w:rsid w:val="00D778A7"/>
    <w:rsid w:val="00D93EDD"/>
    <w:rsid w:val="00D94452"/>
    <w:rsid w:val="00D96DBA"/>
    <w:rsid w:val="00DA020B"/>
    <w:rsid w:val="00DA204D"/>
    <w:rsid w:val="00DB18ED"/>
    <w:rsid w:val="00DB5BA4"/>
    <w:rsid w:val="00DC0062"/>
    <w:rsid w:val="00DC0DE8"/>
    <w:rsid w:val="00DC6826"/>
    <w:rsid w:val="00DC72EA"/>
    <w:rsid w:val="00DC7CE4"/>
    <w:rsid w:val="00DD1735"/>
    <w:rsid w:val="00DD1D93"/>
    <w:rsid w:val="00DD5C2B"/>
    <w:rsid w:val="00DD6D3D"/>
    <w:rsid w:val="00DE3251"/>
    <w:rsid w:val="00DE33D0"/>
    <w:rsid w:val="00DE36CD"/>
    <w:rsid w:val="00DE6999"/>
    <w:rsid w:val="00DE7D95"/>
    <w:rsid w:val="00DF06DC"/>
    <w:rsid w:val="00DF1094"/>
    <w:rsid w:val="00DF32E8"/>
    <w:rsid w:val="00DF42F2"/>
    <w:rsid w:val="00DF54CF"/>
    <w:rsid w:val="00E07920"/>
    <w:rsid w:val="00E146A5"/>
    <w:rsid w:val="00E17058"/>
    <w:rsid w:val="00E23BDD"/>
    <w:rsid w:val="00E241DF"/>
    <w:rsid w:val="00E24500"/>
    <w:rsid w:val="00E33791"/>
    <w:rsid w:val="00E42672"/>
    <w:rsid w:val="00E5077B"/>
    <w:rsid w:val="00E53922"/>
    <w:rsid w:val="00E54718"/>
    <w:rsid w:val="00E56336"/>
    <w:rsid w:val="00E563AB"/>
    <w:rsid w:val="00E57E91"/>
    <w:rsid w:val="00E60F13"/>
    <w:rsid w:val="00E63CF0"/>
    <w:rsid w:val="00E6517A"/>
    <w:rsid w:val="00E66DA2"/>
    <w:rsid w:val="00E70BD2"/>
    <w:rsid w:val="00E737CA"/>
    <w:rsid w:val="00E747B5"/>
    <w:rsid w:val="00E75F66"/>
    <w:rsid w:val="00E760E1"/>
    <w:rsid w:val="00E76876"/>
    <w:rsid w:val="00E80397"/>
    <w:rsid w:val="00E83787"/>
    <w:rsid w:val="00E857E8"/>
    <w:rsid w:val="00E87276"/>
    <w:rsid w:val="00E9020E"/>
    <w:rsid w:val="00EA06D1"/>
    <w:rsid w:val="00EA25CE"/>
    <w:rsid w:val="00EA5736"/>
    <w:rsid w:val="00EB29F3"/>
    <w:rsid w:val="00EC495D"/>
    <w:rsid w:val="00EC6826"/>
    <w:rsid w:val="00ED5C34"/>
    <w:rsid w:val="00EE106C"/>
    <w:rsid w:val="00EE1D31"/>
    <w:rsid w:val="00EE5BA6"/>
    <w:rsid w:val="00EE664B"/>
    <w:rsid w:val="00EE6831"/>
    <w:rsid w:val="00EE6A5E"/>
    <w:rsid w:val="00EF07F4"/>
    <w:rsid w:val="00EF0CD5"/>
    <w:rsid w:val="00EF5A89"/>
    <w:rsid w:val="00EF5AB7"/>
    <w:rsid w:val="00EF6B82"/>
    <w:rsid w:val="00F012C1"/>
    <w:rsid w:val="00F042AC"/>
    <w:rsid w:val="00F07C53"/>
    <w:rsid w:val="00F10D0E"/>
    <w:rsid w:val="00F11A65"/>
    <w:rsid w:val="00F20C67"/>
    <w:rsid w:val="00F24CAD"/>
    <w:rsid w:val="00F26BA1"/>
    <w:rsid w:val="00F40D64"/>
    <w:rsid w:val="00F42E89"/>
    <w:rsid w:val="00F43CC5"/>
    <w:rsid w:val="00F56B2D"/>
    <w:rsid w:val="00F57AAC"/>
    <w:rsid w:val="00F6588F"/>
    <w:rsid w:val="00F70BDE"/>
    <w:rsid w:val="00F70D8F"/>
    <w:rsid w:val="00F70D90"/>
    <w:rsid w:val="00F80922"/>
    <w:rsid w:val="00F8152C"/>
    <w:rsid w:val="00F83AC4"/>
    <w:rsid w:val="00F848B0"/>
    <w:rsid w:val="00F87D50"/>
    <w:rsid w:val="00F91726"/>
    <w:rsid w:val="00F91825"/>
    <w:rsid w:val="00F93A6D"/>
    <w:rsid w:val="00F94BF1"/>
    <w:rsid w:val="00F962D4"/>
    <w:rsid w:val="00F9694D"/>
    <w:rsid w:val="00FA12A1"/>
    <w:rsid w:val="00FB491E"/>
    <w:rsid w:val="00FC59BC"/>
    <w:rsid w:val="00FD2616"/>
    <w:rsid w:val="00FD3934"/>
    <w:rsid w:val="00FD7633"/>
    <w:rsid w:val="00FD7A85"/>
    <w:rsid w:val="00FE3461"/>
    <w:rsid w:val="00FF1A77"/>
    <w:rsid w:val="00FF2D57"/>
    <w:rsid w:val="00FF5F21"/>
    <w:rsid w:val="00FF6196"/>
    <w:rsid w:val="00FF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F94CD1"/>
  <w15:docId w15:val="{CB88FF15-F3A1-B443-985C-5E0D2E10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A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2300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C48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C484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50"/>
    <w:pPr>
      <w:ind w:left="720"/>
      <w:contextualSpacing/>
    </w:pPr>
  </w:style>
  <w:style w:type="paragraph" w:styleId="FootnoteText">
    <w:name w:val="footnote text"/>
    <w:basedOn w:val="Normal"/>
    <w:link w:val="FootnoteTextChar"/>
    <w:uiPriority w:val="99"/>
    <w:semiHidden/>
    <w:unhideWhenUsed/>
    <w:rsid w:val="00B5130C"/>
    <w:rPr>
      <w:sz w:val="20"/>
      <w:szCs w:val="20"/>
    </w:rPr>
  </w:style>
  <w:style w:type="character" w:customStyle="1" w:styleId="FootnoteTextChar">
    <w:name w:val="Footnote Text Char"/>
    <w:basedOn w:val="DefaultParagraphFont"/>
    <w:link w:val="FootnoteText"/>
    <w:uiPriority w:val="99"/>
    <w:semiHidden/>
    <w:rsid w:val="00B5130C"/>
    <w:rPr>
      <w:sz w:val="20"/>
      <w:szCs w:val="20"/>
    </w:rPr>
  </w:style>
  <w:style w:type="character" w:styleId="FootnoteReference">
    <w:name w:val="footnote reference"/>
    <w:basedOn w:val="DefaultParagraphFont"/>
    <w:uiPriority w:val="99"/>
    <w:semiHidden/>
    <w:unhideWhenUsed/>
    <w:rsid w:val="00B5130C"/>
    <w:rPr>
      <w:vertAlign w:val="superscript"/>
    </w:rPr>
  </w:style>
  <w:style w:type="paragraph" w:styleId="Header">
    <w:name w:val="header"/>
    <w:basedOn w:val="Normal"/>
    <w:link w:val="HeaderChar"/>
    <w:uiPriority w:val="99"/>
    <w:unhideWhenUsed/>
    <w:rsid w:val="00C007DC"/>
    <w:pPr>
      <w:tabs>
        <w:tab w:val="center" w:pos="4680"/>
        <w:tab w:val="right" w:pos="9360"/>
      </w:tabs>
    </w:pPr>
  </w:style>
  <w:style w:type="character" w:customStyle="1" w:styleId="HeaderChar">
    <w:name w:val="Header Char"/>
    <w:basedOn w:val="DefaultParagraphFont"/>
    <w:link w:val="Header"/>
    <w:uiPriority w:val="99"/>
    <w:rsid w:val="00C007DC"/>
  </w:style>
  <w:style w:type="paragraph" w:styleId="Footer">
    <w:name w:val="footer"/>
    <w:basedOn w:val="Normal"/>
    <w:link w:val="FooterChar"/>
    <w:uiPriority w:val="99"/>
    <w:unhideWhenUsed/>
    <w:rsid w:val="00C007DC"/>
    <w:pPr>
      <w:tabs>
        <w:tab w:val="center" w:pos="4680"/>
        <w:tab w:val="right" w:pos="9360"/>
      </w:tabs>
    </w:pPr>
  </w:style>
  <w:style w:type="character" w:customStyle="1" w:styleId="FooterChar">
    <w:name w:val="Footer Char"/>
    <w:basedOn w:val="DefaultParagraphFont"/>
    <w:link w:val="Footer"/>
    <w:uiPriority w:val="99"/>
    <w:rsid w:val="00C007DC"/>
  </w:style>
  <w:style w:type="character" w:styleId="CommentReference">
    <w:name w:val="annotation reference"/>
    <w:basedOn w:val="DefaultParagraphFont"/>
    <w:uiPriority w:val="99"/>
    <w:semiHidden/>
    <w:unhideWhenUsed/>
    <w:rsid w:val="00014D45"/>
    <w:rPr>
      <w:sz w:val="16"/>
      <w:szCs w:val="16"/>
    </w:rPr>
  </w:style>
  <w:style w:type="paragraph" w:styleId="CommentText">
    <w:name w:val="annotation text"/>
    <w:basedOn w:val="Normal"/>
    <w:link w:val="CommentTextChar"/>
    <w:uiPriority w:val="99"/>
    <w:semiHidden/>
    <w:unhideWhenUsed/>
    <w:rsid w:val="00014D45"/>
    <w:rPr>
      <w:sz w:val="20"/>
      <w:szCs w:val="20"/>
    </w:rPr>
  </w:style>
  <w:style w:type="character" w:customStyle="1" w:styleId="CommentTextChar">
    <w:name w:val="Comment Text Char"/>
    <w:basedOn w:val="DefaultParagraphFont"/>
    <w:link w:val="CommentText"/>
    <w:uiPriority w:val="99"/>
    <w:semiHidden/>
    <w:rsid w:val="00014D45"/>
    <w:rPr>
      <w:sz w:val="20"/>
      <w:szCs w:val="20"/>
    </w:rPr>
  </w:style>
  <w:style w:type="paragraph" w:styleId="CommentSubject">
    <w:name w:val="annotation subject"/>
    <w:basedOn w:val="CommentText"/>
    <w:next w:val="CommentText"/>
    <w:link w:val="CommentSubjectChar"/>
    <w:uiPriority w:val="99"/>
    <w:semiHidden/>
    <w:unhideWhenUsed/>
    <w:rsid w:val="00014D45"/>
    <w:rPr>
      <w:b/>
      <w:bCs/>
    </w:rPr>
  </w:style>
  <w:style w:type="character" w:customStyle="1" w:styleId="CommentSubjectChar">
    <w:name w:val="Comment Subject Char"/>
    <w:basedOn w:val="CommentTextChar"/>
    <w:link w:val="CommentSubject"/>
    <w:uiPriority w:val="99"/>
    <w:semiHidden/>
    <w:rsid w:val="00014D45"/>
    <w:rPr>
      <w:b/>
      <w:bCs/>
      <w:sz w:val="20"/>
      <w:szCs w:val="20"/>
    </w:rPr>
  </w:style>
  <w:style w:type="paragraph" w:styleId="BalloonText">
    <w:name w:val="Balloon Text"/>
    <w:basedOn w:val="Normal"/>
    <w:link w:val="BalloonTextChar"/>
    <w:uiPriority w:val="99"/>
    <w:semiHidden/>
    <w:unhideWhenUsed/>
    <w:rsid w:val="00014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45"/>
    <w:rPr>
      <w:rFonts w:ascii="Segoe UI" w:hAnsi="Segoe UI" w:cs="Segoe UI"/>
      <w:sz w:val="18"/>
      <w:szCs w:val="18"/>
    </w:rPr>
  </w:style>
  <w:style w:type="character" w:styleId="Hyperlink">
    <w:name w:val="Hyperlink"/>
    <w:basedOn w:val="DefaultParagraphFont"/>
    <w:uiPriority w:val="99"/>
    <w:unhideWhenUsed/>
    <w:rsid w:val="000E1803"/>
    <w:rPr>
      <w:color w:val="0563C1" w:themeColor="hyperlink"/>
      <w:u w:val="single"/>
    </w:rPr>
  </w:style>
  <w:style w:type="paragraph" w:styleId="EndnoteText">
    <w:name w:val="endnote text"/>
    <w:basedOn w:val="Normal"/>
    <w:link w:val="EndnoteTextChar"/>
    <w:uiPriority w:val="99"/>
    <w:semiHidden/>
    <w:unhideWhenUsed/>
    <w:rsid w:val="00E56336"/>
    <w:rPr>
      <w:sz w:val="20"/>
      <w:szCs w:val="20"/>
    </w:rPr>
  </w:style>
  <w:style w:type="character" w:customStyle="1" w:styleId="EndnoteTextChar">
    <w:name w:val="Endnote Text Char"/>
    <w:basedOn w:val="DefaultParagraphFont"/>
    <w:link w:val="EndnoteText"/>
    <w:uiPriority w:val="99"/>
    <w:semiHidden/>
    <w:rsid w:val="00E56336"/>
    <w:rPr>
      <w:sz w:val="20"/>
      <w:szCs w:val="20"/>
    </w:rPr>
  </w:style>
  <w:style w:type="character" w:styleId="EndnoteReference">
    <w:name w:val="endnote reference"/>
    <w:basedOn w:val="DefaultParagraphFont"/>
    <w:uiPriority w:val="99"/>
    <w:semiHidden/>
    <w:unhideWhenUsed/>
    <w:rsid w:val="00E56336"/>
    <w:rPr>
      <w:vertAlign w:val="superscript"/>
    </w:rPr>
  </w:style>
  <w:style w:type="table" w:styleId="TableGrid">
    <w:name w:val="Table Grid"/>
    <w:basedOn w:val="TableNormal"/>
    <w:uiPriority w:val="59"/>
    <w:rsid w:val="00D3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BDE"/>
    <w:pPr>
      <w:spacing w:after="0" w:line="240" w:lineRule="auto"/>
    </w:pPr>
  </w:style>
  <w:style w:type="character" w:customStyle="1" w:styleId="Heading1Char">
    <w:name w:val="Heading 1 Char"/>
    <w:basedOn w:val="DefaultParagraphFont"/>
    <w:link w:val="Heading1"/>
    <w:uiPriority w:val="9"/>
    <w:rsid w:val="0062300A"/>
    <w:rPr>
      <w:rFonts w:asciiTheme="majorHAnsi" w:eastAsiaTheme="majorEastAsia" w:hAnsiTheme="majorHAnsi" w:cstheme="majorBidi"/>
      <w:b/>
      <w:bCs/>
      <w:color w:val="2E74B5" w:themeColor="accent1" w:themeShade="BF"/>
      <w:sz w:val="28"/>
      <w:szCs w:val="28"/>
    </w:rPr>
  </w:style>
  <w:style w:type="character" w:styleId="BookTitle">
    <w:name w:val="Book Title"/>
    <w:basedOn w:val="DefaultParagraphFont"/>
    <w:uiPriority w:val="33"/>
    <w:qFormat/>
    <w:rsid w:val="00200A58"/>
    <w:rPr>
      <w:b/>
      <w:bCs/>
      <w:i/>
      <w:iCs/>
      <w:spacing w:val="5"/>
    </w:rPr>
  </w:style>
  <w:style w:type="paragraph" w:customStyle="1" w:styleId="MMNotes">
    <w:name w:val="MMNotes"/>
    <w:basedOn w:val="Normal"/>
    <w:link w:val="MMNotesChar"/>
    <w:qFormat/>
    <w:rsid w:val="003B7480"/>
    <w:pPr>
      <w:spacing w:after="200" w:line="276" w:lineRule="auto"/>
    </w:pPr>
  </w:style>
  <w:style w:type="character" w:customStyle="1" w:styleId="MMNotesChar">
    <w:name w:val="MMNotes Char"/>
    <w:basedOn w:val="DefaultParagraphFont"/>
    <w:link w:val="MMNotes"/>
    <w:rsid w:val="003B7480"/>
  </w:style>
  <w:style w:type="paragraph" w:customStyle="1" w:styleId="MMTopic1">
    <w:name w:val="MMTopic1"/>
    <w:basedOn w:val="Heading1"/>
    <w:link w:val="MMTopic1Char"/>
    <w:rsid w:val="006C4840"/>
    <w:pPr>
      <w:numPr>
        <w:numId w:val="15"/>
      </w:numPr>
      <w:spacing w:before="0" w:after="240" w:line="276" w:lineRule="auto"/>
    </w:pPr>
  </w:style>
  <w:style w:type="character" w:customStyle="1" w:styleId="MMTopic1Char">
    <w:name w:val="MM Topic 1 Char"/>
    <w:basedOn w:val="Heading1Char"/>
    <w:link w:val="MMTopic1"/>
    <w:rsid w:val="006C4840"/>
    <w:rPr>
      <w:rFonts w:asciiTheme="majorHAnsi" w:eastAsiaTheme="majorEastAsia" w:hAnsiTheme="majorHAnsi" w:cstheme="majorBidi"/>
      <w:b/>
      <w:bCs/>
      <w:color w:val="2E74B5" w:themeColor="accent1" w:themeShade="BF"/>
      <w:sz w:val="28"/>
      <w:szCs w:val="28"/>
    </w:rPr>
  </w:style>
  <w:style w:type="paragraph" w:customStyle="1" w:styleId="MMTopic2">
    <w:name w:val="MMTopic2"/>
    <w:basedOn w:val="Heading2"/>
    <w:rsid w:val="006C4840"/>
    <w:pPr>
      <w:numPr>
        <w:ilvl w:val="1"/>
        <w:numId w:val="15"/>
      </w:numPr>
      <w:spacing w:before="0" w:after="240" w:line="276" w:lineRule="auto"/>
      <w:ind w:left="1440" w:hanging="360"/>
    </w:pPr>
    <w:rPr>
      <w:b/>
      <w:bCs/>
      <w:color w:val="5B9BD5" w:themeColor="accent1"/>
    </w:rPr>
  </w:style>
  <w:style w:type="paragraph" w:customStyle="1" w:styleId="MMTopic3">
    <w:name w:val="MMTopic3"/>
    <w:basedOn w:val="Heading3"/>
    <w:rsid w:val="006C4840"/>
    <w:pPr>
      <w:numPr>
        <w:ilvl w:val="2"/>
        <w:numId w:val="15"/>
      </w:numPr>
      <w:spacing w:before="0" w:after="240" w:line="276" w:lineRule="auto"/>
      <w:ind w:left="2160" w:hanging="360"/>
    </w:pPr>
    <w:rPr>
      <w:b/>
      <w:bCs/>
      <w:color w:val="5B9BD5" w:themeColor="accent1"/>
      <w:sz w:val="22"/>
      <w:szCs w:val="22"/>
    </w:rPr>
  </w:style>
  <w:style w:type="paragraph" w:customStyle="1" w:styleId="MMTopic4">
    <w:name w:val="MMTopic4"/>
    <w:rsid w:val="006C4840"/>
    <w:pPr>
      <w:numPr>
        <w:ilvl w:val="3"/>
        <w:numId w:val="15"/>
      </w:numPr>
      <w:spacing w:after="240" w:line="276" w:lineRule="auto"/>
    </w:pPr>
    <w:rPr>
      <w:rFonts w:asciiTheme="majorHAnsi" w:eastAsiaTheme="majorEastAsia" w:hAnsiTheme="majorHAnsi" w:cstheme="majorBidi"/>
      <w:b/>
      <w:bCs/>
      <w:color w:val="5B9BD5" w:themeColor="accent1"/>
    </w:rPr>
  </w:style>
  <w:style w:type="paragraph" w:customStyle="1" w:styleId="MMTopic5">
    <w:name w:val="MMTopic5"/>
    <w:rsid w:val="006C4840"/>
    <w:pPr>
      <w:numPr>
        <w:ilvl w:val="4"/>
        <w:numId w:val="15"/>
      </w:numPr>
      <w:spacing w:after="240" w:line="276" w:lineRule="auto"/>
    </w:pPr>
    <w:rPr>
      <w:rFonts w:asciiTheme="majorHAnsi" w:eastAsiaTheme="majorEastAsia" w:hAnsiTheme="majorHAnsi" w:cstheme="majorBidi"/>
      <w:b/>
      <w:bCs/>
      <w:color w:val="5B9BD5" w:themeColor="accent1"/>
    </w:rPr>
  </w:style>
  <w:style w:type="paragraph" w:customStyle="1" w:styleId="MMTopic6">
    <w:name w:val="MMTopic6"/>
    <w:rsid w:val="006C4840"/>
    <w:pPr>
      <w:numPr>
        <w:ilvl w:val="5"/>
        <w:numId w:val="15"/>
      </w:numPr>
      <w:spacing w:after="240" w:line="276" w:lineRule="auto"/>
    </w:pPr>
    <w:rPr>
      <w:rFonts w:asciiTheme="majorHAnsi" w:eastAsiaTheme="majorEastAsia" w:hAnsiTheme="majorHAnsi" w:cstheme="majorBidi"/>
      <w:b/>
      <w:bCs/>
      <w:color w:val="5B9BD5" w:themeColor="accent1"/>
    </w:rPr>
  </w:style>
  <w:style w:type="paragraph" w:customStyle="1" w:styleId="MMTopic7">
    <w:name w:val="MMTopic7"/>
    <w:rsid w:val="006C4840"/>
    <w:pPr>
      <w:numPr>
        <w:ilvl w:val="6"/>
        <w:numId w:val="15"/>
      </w:numPr>
      <w:spacing w:after="240" w:line="276" w:lineRule="auto"/>
    </w:pPr>
    <w:rPr>
      <w:rFonts w:asciiTheme="majorHAnsi" w:eastAsiaTheme="majorEastAsia" w:hAnsiTheme="majorHAnsi" w:cstheme="majorBidi"/>
      <w:b/>
      <w:bCs/>
      <w:color w:val="5B9BD5" w:themeColor="accent1"/>
    </w:rPr>
  </w:style>
  <w:style w:type="paragraph" w:customStyle="1" w:styleId="MMTopic8">
    <w:name w:val="MMTopic8"/>
    <w:rsid w:val="006C4840"/>
    <w:pPr>
      <w:numPr>
        <w:ilvl w:val="7"/>
        <w:numId w:val="15"/>
      </w:numPr>
      <w:spacing w:after="240" w:line="276" w:lineRule="auto"/>
    </w:pPr>
    <w:rPr>
      <w:rFonts w:asciiTheme="majorHAnsi" w:eastAsiaTheme="majorEastAsia" w:hAnsiTheme="majorHAnsi" w:cstheme="majorBidi"/>
      <w:b/>
      <w:bCs/>
      <w:color w:val="5B9BD5" w:themeColor="accent1"/>
    </w:rPr>
  </w:style>
  <w:style w:type="paragraph" w:customStyle="1" w:styleId="MMTopic9">
    <w:name w:val="MMTopic9"/>
    <w:rsid w:val="006C4840"/>
    <w:pPr>
      <w:numPr>
        <w:ilvl w:val="8"/>
        <w:numId w:val="15"/>
      </w:numPr>
      <w:spacing w:after="240" w:line="276" w:lineRule="auto"/>
    </w:pPr>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6C4840"/>
    <w:pPr>
      <w:spacing w:before="100" w:beforeAutospacing="1" w:after="100" w:afterAutospacing="1"/>
    </w:pPr>
  </w:style>
  <w:style w:type="character" w:customStyle="1" w:styleId="Heading2Char">
    <w:name w:val="Heading 2 Char"/>
    <w:basedOn w:val="DefaultParagraphFont"/>
    <w:link w:val="Heading2"/>
    <w:uiPriority w:val="9"/>
    <w:semiHidden/>
    <w:rsid w:val="006C48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C4840"/>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F57AAC"/>
    <w:rPr>
      <w:color w:val="605E5C"/>
      <w:shd w:val="clear" w:color="auto" w:fill="E1DFDD"/>
    </w:rPr>
  </w:style>
  <w:style w:type="character" w:styleId="PageNumber">
    <w:name w:val="page number"/>
    <w:basedOn w:val="DefaultParagraphFont"/>
    <w:uiPriority w:val="99"/>
    <w:semiHidden/>
    <w:unhideWhenUsed/>
    <w:rsid w:val="0002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77438">
      <w:bodyDiv w:val="1"/>
      <w:marLeft w:val="0"/>
      <w:marRight w:val="0"/>
      <w:marTop w:val="0"/>
      <w:marBottom w:val="0"/>
      <w:divBdr>
        <w:top w:val="none" w:sz="0" w:space="0" w:color="auto"/>
        <w:left w:val="none" w:sz="0" w:space="0" w:color="auto"/>
        <w:bottom w:val="none" w:sz="0" w:space="0" w:color="auto"/>
        <w:right w:val="none" w:sz="0" w:space="0" w:color="auto"/>
      </w:divBdr>
    </w:div>
    <w:div w:id="1001543626">
      <w:bodyDiv w:val="1"/>
      <w:marLeft w:val="0"/>
      <w:marRight w:val="0"/>
      <w:marTop w:val="0"/>
      <w:marBottom w:val="0"/>
      <w:divBdr>
        <w:top w:val="none" w:sz="0" w:space="0" w:color="auto"/>
        <w:left w:val="none" w:sz="0" w:space="0" w:color="auto"/>
        <w:bottom w:val="none" w:sz="0" w:space="0" w:color="auto"/>
        <w:right w:val="none" w:sz="0" w:space="0" w:color="auto"/>
      </w:divBdr>
    </w:div>
    <w:div w:id="1119110080">
      <w:bodyDiv w:val="1"/>
      <w:marLeft w:val="0"/>
      <w:marRight w:val="0"/>
      <w:marTop w:val="0"/>
      <w:marBottom w:val="0"/>
      <w:divBdr>
        <w:top w:val="none" w:sz="0" w:space="0" w:color="auto"/>
        <w:left w:val="none" w:sz="0" w:space="0" w:color="auto"/>
        <w:bottom w:val="none" w:sz="0" w:space="0" w:color="auto"/>
        <w:right w:val="none" w:sz="0" w:space="0" w:color="auto"/>
      </w:divBdr>
    </w:div>
    <w:div w:id="1525481666">
      <w:bodyDiv w:val="1"/>
      <w:marLeft w:val="0"/>
      <w:marRight w:val="0"/>
      <w:marTop w:val="0"/>
      <w:marBottom w:val="0"/>
      <w:divBdr>
        <w:top w:val="none" w:sz="0" w:space="0" w:color="auto"/>
        <w:left w:val="none" w:sz="0" w:space="0" w:color="auto"/>
        <w:bottom w:val="none" w:sz="0" w:space="0" w:color="auto"/>
        <w:right w:val="none" w:sz="0" w:space="0" w:color="auto"/>
      </w:divBdr>
    </w:div>
    <w:div w:id="1881280912">
      <w:bodyDiv w:val="1"/>
      <w:marLeft w:val="0"/>
      <w:marRight w:val="0"/>
      <w:marTop w:val="0"/>
      <w:marBottom w:val="0"/>
      <w:divBdr>
        <w:top w:val="none" w:sz="0" w:space="0" w:color="auto"/>
        <w:left w:val="none" w:sz="0" w:space="0" w:color="auto"/>
        <w:bottom w:val="none" w:sz="0" w:space="0" w:color="auto"/>
        <w:right w:val="none" w:sz="0" w:space="0" w:color="auto"/>
      </w:divBdr>
    </w:div>
    <w:div w:id="206490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www.un.org/africarenewal/fr/magazine/october-2008/moisson-de-l'espoir-pour-les-agriculteur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yeniziekone\Dropbox\Mali%20PRePoSAM\r8.%20subsidy%20background\b.%20document%20de%20travail_origine%20et%20evolution\graphiques%20bulletin%20politiqu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680446194225725E-2"/>
          <c:y val="2.3562231759656653E-2"/>
          <c:w val="0.90531955380577422"/>
          <c:h val="0.82901287553648073"/>
        </c:manualLayout>
      </c:layout>
      <c:scatterChart>
        <c:scatterStyle val="lineMarker"/>
        <c:varyColors val="0"/>
        <c:ser>
          <c:idx val="0"/>
          <c:order val="0"/>
          <c:tx>
            <c:strRef>
              <c:f>'tableau 2'!$C$1</c:f>
              <c:strCache>
                <c:ptCount val="1"/>
                <c:pt idx="0">
                  <c:v>Montant subvention engrais </c:v>
                </c:pt>
              </c:strCache>
            </c:strRef>
          </c:tx>
          <c:spPr>
            <a:ln w="19050" cap="rnd">
              <a:solidFill>
                <a:schemeClr val="accent1"/>
              </a:solidFill>
              <a:round/>
            </a:ln>
            <a:effectLst>
              <a:outerShdw blurRad="50800" dist="50800" dir="5400000" sx="93000" sy="93000" algn="ctr" rotWithShape="0">
                <a:srgbClr val="000000">
                  <a:alpha val="43137"/>
                </a:srgbClr>
              </a:outerShdw>
            </a:effectLst>
          </c:spPr>
          <c:marker>
            <c:symbol val="circle"/>
            <c:size val="5"/>
            <c:spPr>
              <a:solidFill>
                <a:schemeClr val="accent1"/>
              </a:solidFill>
              <a:ln w="9525">
                <a:solidFill>
                  <a:schemeClr val="accent1"/>
                </a:solidFill>
              </a:ln>
              <a:effectLst>
                <a:outerShdw blurRad="50800" dist="50800" dir="5400000" sx="93000" sy="93000" algn="ctr" rotWithShape="0">
                  <a:srgbClr val="000000">
                    <a:alpha val="43137"/>
                  </a:srgbClr>
                </a:outerShdw>
              </a:effectLst>
            </c:spPr>
          </c:marker>
          <c:dLbls>
            <c:spPr>
              <a:noFill/>
              <a:ln>
                <a:noFill/>
              </a:ln>
              <a:effectLst>
                <a:glow rad="876300">
                  <a:schemeClr val="accent1">
                    <a:alpha val="40000"/>
                  </a:schemeClr>
                </a:glow>
                <a:outerShdw blurRad="190500" dist="50800" dir="5400000" sx="14000" sy="14000" algn="ctr" rotWithShape="0">
                  <a:schemeClr val="accent5">
                    <a:alpha val="67000"/>
                  </a:scheme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'tableau 2'!$A$2:$A$11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xVal>
          <c:yVal>
            <c:numRef>
              <c:f>'tableau 2'!$C$2:$C$11</c:f>
              <c:numCache>
                <c:formatCode>General</c:formatCode>
                <c:ptCount val="10"/>
                <c:pt idx="0">
                  <c:v>11.64</c:v>
                </c:pt>
                <c:pt idx="1">
                  <c:v>16.2</c:v>
                </c:pt>
                <c:pt idx="2">
                  <c:v>21.53</c:v>
                </c:pt>
                <c:pt idx="3">
                  <c:v>31</c:v>
                </c:pt>
                <c:pt idx="4">
                  <c:v>36</c:v>
                </c:pt>
                <c:pt idx="5">
                  <c:v>35</c:v>
                </c:pt>
                <c:pt idx="6">
                  <c:v>34.08</c:v>
                </c:pt>
                <c:pt idx="7">
                  <c:v>37</c:v>
                </c:pt>
                <c:pt idx="8">
                  <c:v>38</c:v>
                </c:pt>
                <c:pt idx="9">
                  <c:v>36.700000000000003</c:v>
                </c:pt>
              </c:numCache>
            </c:numRef>
          </c:yVal>
          <c:smooth val="0"/>
          <c:extLst>
            <c:ext xmlns:c16="http://schemas.microsoft.com/office/drawing/2014/chart" uri="{C3380CC4-5D6E-409C-BE32-E72D297353CC}">
              <c16:uniqueId val="{00000000-A334-F346-A94D-1528D409D4FE}"/>
            </c:ext>
          </c:extLst>
        </c:ser>
        <c:dLbls>
          <c:showLegendKey val="0"/>
          <c:showVal val="0"/>
          <c:showCatName val="0"/>
          <c:showSerName val="0"/>
          <c:showPercent val="0"/>
          <c:showBubbleSize val="0"/>
        </c:dLbls>
        <c:axId val="1614598959"/>
        <c:axId val="1613521871"/>
      </c:scatterChart>
      <c:valAx>
        <c:axId val="16145989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3521871"/>
        <c:crosses val="autoZero"/>
        <c:crossBetween val="midCat"/>
      </c:valAx>
      <c:valAx>
        <c:axId val="16135218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Milliards</a:t>
                </a:r>
                <a:r>
                  <a:rPr lang="en-US" b="1" baseline="0"/>
                  <a:t>  FCFA</a:t>
                </a:r>
                <a:endParaRPr lang="en-US" b="1"/>
              </a:p>
            </c:rich>
          </c:tx>
          <c:layout>
            <c:manualLayout>
              <c:xMode val="edge"/>
              <c:yMode val="edge"/>
              <c:x val="5.8333333333333334E-2"/>
              <c:y val="4.807914568618838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59895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1162E-FB94-4480-A899-C6802DBF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1979</Words>
  <Characters>11285</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IFPRI</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Regard sur les origines de la subvention des engrais au Mali</dc:title>
  <dc:subject/>
  <dc:creator>koneyeni@msu.edu;Alpha Kergna;Abdramane Traoré;Naman Keita</dc:creator>
  <cp:keywords/>
  <dc:description/>
  <cp:lastModifiedBy>Longabaugh, Steve</cp:lastModifiedBy>
  <cp:revision>9</cp:revision>
  <cp:lastPrinted>2019-05-02T12:25:00Z</cp:lastPrinted>
  <dcterms:created xsi:type="dcterms:W3CDTF">2019-08-21T14:06:00Z</dcterms:created>
  <dcterms:modified xsi:type="dcterms:W3CDTF">2019-08-21T14:35:00Z</dcterms:modified>
</cp:coreProperties>
</file>